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palament1"/>
        <w:tabs>
          <w:tab w:val="clear" w:pos="708"/>
          <w:tab w:val="left" w:pos="1635" w:leader="none"/>
        </w:tabs>
        <w:rPr>
          <w:rFonts w:ascii="Calibri" w:hAnsi="Calibri" w:cs="Calibri"/>
          <w:sz w:val="40"/>
          <w:szCs w:val="40"/>
          <w:lang w:val="ca-ES"/>
        </w:rPr>
      </w:pPr>
      <w:r>
        <w:rPr>
          <w:rFonts w:cs="Calibri" w:ascii="Calibri" w:hAnsi="Calibri"/>
          <w:sz w:val="40"/>
          <w:szCs w:val="40"/>
          <w:lang w:val="ca-ES"/>
        </w:rPr>
        <w:tab/>
      </w:r>
    </w:p>
    <w:p>
      <w:pPr>
        <w:pStyle w:val="Encapalament1"/>
        <w:jc w:val="center"/>
        <w:rPr>
          <w:rFonts w:ascii="Calibri" w:hAnsi="Calibri" w:cs="Calibri"/>
          <w:sz w:val="22"/>
          <w:szCs w:val="22"/>
          <w:lang w:val="ca-ES"/>
        </w:rPr>
      </w:pPr>
      <w:r>
        <w:rPr>
          <w:rFonts w:cs="Calibri" w:ascii="Calibri" w:hAnsi="Calibri"/>
          <w:sz w:val="22"/>
          <w:szCs w:val="22"/>
          <w:lang w:val="ca-ES"/>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bCs/>
          <w:sz w:val="22"/>
          <w:szCs w:val="22"/>
        </w:rPr>
      </w:pPr>
      <w:r>
        <w:rPr>
          <w:rFonts w:cs="Calibri" w:ascii="Calibri" w:hAnsi="Calibri"/>
          <w:b/>
          <w:bCs/>
          <w:sz w:val="32"/>
          <w:szCs w:val="32"/>
        </w:rPr>
        <w:t>A J U N T A M E N T    D E   P E T R A</w:t>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Normal"/>
        <w:rPr>
          <w:rFonts w:ascii="Calibri" w:hAnsi="Calibri" w:cs="Calibri"/>
          <w:b/>
          <w:b/>
          <w:sz w:val="22"/>
          <w:szCs w:val="22"/>
        </w:rPr>
      </w:pPr>
      <w:r>
        <w:rPr>
          <w:rFonts w:cs="Calibri" w:ascii="Calibri" w:hAnsi="Calibri"/>
          <w:b/>
          <w:sz w:val="22"/>
          <w:szCs w:val="22"/>
        </w:rPr>
      </w:r>
    </w:p>
    <w:p>
      <w:pPr>
        <w:pStyle w:val="Encapalament2"/>
        <w:rPr>
          <w:rFonts w:ascii="Calibri" w:hAnsi="Calibri" w:cs="Calibri"/>
          <w:sz w:val="32"/>
          <w:szCs w:val="32"/>
          <w:lang w:val="ca-ES"/>
        </w:rPr>
      </w:pPr>
      <w:r>
        <w:rPr>
          <w:rFonts w:cs="Calibri" w:ascii="Calibri" w:hAnsi="Calibri"/>
          <w:sz w:val="32"/>
          <w:szCs w:val="32"/>
          <w:lang w:val="ca-ES"/>
        </w:rPr>
        <w:t xml:space="preserve">E X P E D I E N T  </w:t>
      </w:r>
    </w:p>
    <w:p>
      <w:pPr>
        <w:pStyle w:val="Encapalament2"/>
        <w:rPr>
          <w:rFonts w:ascii="Calibri" w:hAnsi="Calibri" w:cs="Calibri"/>
          <w:sz w:val="32"/>
          <w:szCs w:val="32"/>
          <w:lang w:val="ca-ES"/>
        </w:rPr>
      </w:pPr>
      <w:r>
        <w:rPr>
          <w:rFonts w:cs="Calibri" w:ascii="Calibri" w:hAnsi="Calibri"/>
          <w:sz w:val="32"/>
          <w:szCs w:val="32"/>
          <w:lang w:val="ca-ES"/>
        </w:rPr>
      </w:r>
    </w:p>
    <w:p>
      <w:pPr>
        <w:pStyle w:val="Encapalament2"/>
        <w:rPr>
          <w:rFonts w:ascii="Calibri" w:hAnsi="Calibri" w:cs="Calibri"/>
          <w:sz w:val="32"/>
          <w:szCs w:val="32"/>
          <w:lang w:val="ca-ES"/>
        </w:rPr>
      </w:pPr>
      <w:r>
        <w:rPr>
          <w:rFonts w:cs="Calibri" w:ascii="Calibri" w:hAnsi="Calibri"/>
          <w:sz w:val="32"/>
          <w:szCs w:val="32"/>
          <w:lang w:val="ca-ES"/>
        </w:rPr>
      </w:r>
    </w:p>
    <w:p>
      <w:pPr>
        <w:pStyle w:val="Encapalament2"/>
        <w:rPr>
          <w:rFonts w:ascii="Calibri" w:hAnsi="Calibri" w:cs="Calibri"/>
          <w:sz w:val="32"/>
          <w:szCs w:val="32"/>
          <w:lang w:val="ca-ES"/>
        </w:rPr>
      </w:pPr>
      <w:r>
        <w:rPr>
          <w:rFonts w:cs="Calibri" w:ascii="Calibri" w:hAnsi="Calibri"/>
          <w:sz w:val="32"/>
          <w:szCs w:val="32"/>
          <w:lang w:val="ca-ES"/>
        </w:rPr>
        <w:t xml:space="preserve">  </w:t>
      </w:r>
      <w:r>
        <w:rPr>
          <w:rFonts w:cs="Calibri" w:ascii="Calibri" w:hAnsi="Calibri"/>
          <w:sz w:val="32"/>
          <w:szCs w:val="32"/>
          <w:lang w:val="ca-ES"/>
        </w:rPr>
        <w:t xml:space="preserve">D ‘ A P R O V A C I Ó    D E     LA    L I Q U I D A C I Ó  </w:t>
      </w:r>
    </w:p>
    <w:p>
      <w:pPr>
        <w:pStyle w:val="Encapalament2"/>
        <w:rPr>
          <w:rFonts w:ascii="Calibri" w:hAnsi="Calibri" w:cs="Calibri"/>
          <w:sz w:val="32"/>
          <w:szCs w:val="32"/>
          <w:lang w:val="ca-ES"/>
        </w:rPr>
      </w:pPr>
      <w:r>
        <w:rPr>
          <w:rFonts w:cs="Calibri" w:ascii="Calibri" w:hAnsi="Calibri"/>
          <w:sz w:val="32"/>
          <w:szCs w:val="32"/>
          <w:lang w:val="ca-ES"/>
        </w:rPr>
      </w:r>
    </w:p>
    <w:p>
      <w:pPr>
        <w:pStyle w:val="Encapalament2"/>
        <w:rPr>
          <w:rFonts w:ascii="Calibri" w:hAnsi="Calibri" w:cs="Calibri"/>
          <w:sz w:val="32"/>
          <w:szCs w:val="32"/>
          <w:lang w:val="ca-ES"/>
        </w:rPr>
      </w:pPr>
      <w:r>
        <w:rPr>
          <w:rFonts w:cs="Calibri" w:ascii="Calibri" w:hAnsi="Calibri"/>
          <w:sz w:val="32"/>
          <w:szCs w:val="32"/>
          <w:lang w:val="ca-ES"/>
        </w:rPr>
      </w:r>
    </w:p>
    <w:p>
      <w:pPr>
        <w:pStyle w:val="Encapalament2"/>
        <w:rPr>
          <w:rFonts w:ascii="Calibri" w:hAnsi="Calibri" w:cs="Calibri"/>
          <w:sz w:val="32"/>
          <w:szCs w:val="32"/>
          <w:lang w:val="ca-ES"/>
        </w:rPr>
      </w:pPr>
      <w:r>
        <w:rPr>
          <w:rFonts w:cs="Calibri" w:ascii="Calibri" w:hAnsi="Calibri"/>
          <w:sz w:val="32"/>
          <w:szCs w:val="32"/>
          <w:lang w:val="ca-ES"/>
        </w:rPr>
        <w:t xml:space="preserve">  </w:t>
      </w:r>
      <w:r>
        <w:rPr>
          <w:rFonts w:cs="Calibri" w:ascii="Calibri" w:hAnsi="Calibri"/>
          <w:sz w:val="32"/>
          <w:szCs w:val="32"/>
          <w:lang w:val="ca-ES"/>
        </w:rPr>
        <w:t xml:space="preserve">D E L    P R E S S U P O S T </w:t>
      </w:r>
    </w:p>
    <w:p>
      <w:pPr>
        <w:pStyle w:val="Normal"/>
        <w:rPr>
          <w:rFonts w:ascii="Calibri" w:hAnsi="Calibri" w:cs="Calibri"/>
          <w:sz w:val="32"/>
          <w:szCs w:val="32"/>
        </w:rPr>
      </w:pPr>
      <w:r>
        <w:rPr>
          <w:rFonts w:cs="Calibri" w:ascii="Calibri" w:hAnsi="Calibri"/>
          <w:sz w:val="32"/>
          <w:szCs w:val="32"/>
        </w:rPr>
      </w:r>
    </w:p>
    <w:p>
      <w:pPr>
        <w:pStyle w:val="Normal"/>
        <w:rPr>
          <w:rFonts w:ascii="Calibri" w:hAnsi="Calibri" w:cs="Calibri"/>
          <w:sz w:val="32"/>
          <w:szCs w:val="32"/>
        </w:rPr>
      </w:pPr>
      <w:r>
        <w:rPr>
          <w:rFonts w:cs="Calibri" w:ascii="Calibri" w:hAnsi="Calibri"/>
          <w:sz w:val="32"/>
          <w:szCs w:val="32"/>
        </w:rPr>
      </w:r>
    </w:p>
    <w:p>
      <w:pPr>
        <w:pStyle w:val="Normal"/>
        <w:jc w:val="center"/>
        <w:rPr>
          <w:rFonts w:ascii="Calibri" w:hAnsi="Calibri" w:cs="Calibri"/>
          <w:b/>
          <w:b/>
          <w:sz w:val="32"/>
          <w:szCs w:val="32"/>
        </w:rPr>
      </w:pPr>
      <w:r>
        <w:rPr>
          <w:rFonts w:cs="Calibri" w:ascii="Calibri" w:hAnsi="Calibri"/>
          <w:b/>
          <w:sz w:val="32"/>
          <w:szCs w:val="32"/>
        </w:rPr>
      </w:r>
    </w:p>
    <w:p>
      <w:pPr>
        <w:pStyle w:val="Normal"/>
        <w:jc w:val="center"/>
        <w:rPr>
          <w:rFonts w:ascii="Calibri" w:hAnsi="Calibri" w:cs="Calibri"/>
          <w:b/>
          <w:b/>
          <w:sz w:val="32"/>
          <w:szCs w:val="32"/>
        </w:rPr>
      </w:pPr>
      <w:r>
        <w:rPr>
          <w:rFonts w:cs="Calibri" w:ascii="Calibri" w:hAnsi="Calibri"/>
          <w:b/>
          <w:sz w:val="32"/>
          <w:szCs w:val="32"/>
        </w:rPr>
        <w:t xml:space="preserve">  </w:t>
      </w:r>
      <w:r>
        <w:rPr>
          <w:rFonts w:cs="Calibri" w:ascii="Calibri" w:hAnsi="Calibri"/>
          <w:b/>
          <w:sz w:val="32"/>
          <w:szCs w:val="32"/>
        </w:rPr>
        <w:t>D E L    2 0 2 2</w:t>
      </w:r>
    </w:p>
    <w:p>
      <w:pPr>
        <w:pStyle w:val="Normal"/>
        <w:rPr>
          <w:rFonts w:ascii="Calibri" w:hAnsi="Calibri" w:cs="Calibri"/>
          <w:sz w:val="32"/>
          <w:szCs w:val="32"/>
        </w:rPr>
      </w:pPr>
      <w:r>
        <w:rPr>
          <w:rFonts w:cs="Calibri" w:ascii="Calibri" w:hAnsi="Calibri"/>
          <w:sz w:val="32"/>
          <w:szCs w:val="3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t xml:space="preserve">En Francisco González Benito, - Secretari-Interventor de Fons d’aquesta Corporació, </w:t>
      </w:r>
      <w:r>
        <w:rPr>
          <w:rFonts w:cs="Calibri" w:ascii="Calibri" w:hAnsi="Calibri" w:asciiTheme="minorHAnsi" w:hAnsiTheme="minorHAnsi"/>
          <w:sz w:val="22"/>
          <w:szCs w:val="22"/>
        </w:rPr>
        <w:t xml:space="preserve">en compliment del que es disposa </w:t>
      </w:r>
      <w:bookmarkStart w:id="0" w:name="_Hlk103584734"/>
      <w:r>
        <w:rPr>
          <w:rFonts w:cs="Calibri" w:ascii="Calibri" w:hAnsi="Calibri" w:asciiTheme="minorHAnsi" w:hAnsiTheme="minorHAnsi"/>
          <w:sz w:val="22"/>
          <w:szCs w:val="22"/>
        </w:rPr>
        <w:t xml:space="preserve">a l’article  191.3 del Text Refós de la Llei Reguladora de les Hisendes Locals </w:t>
      </w:r>
      <w:bookmarkEnd w:id="0"/>
      <w:r>
        <w:rPr>
          <w:rFonts w:cs="Calibri" w:ascii="Calibri" w:hAnsi="Calibri" w:asciiTheme="minorHAnsi" w:hAnsiTheme="minorHAnsi"/>
          <w:sz w:val="22"/>
          <w:szCs w:val="22"/>
        </w:rPr>
        <w:t>i a  l'article 90 paràgraf 1er. del Reial Decret 500/1990 de 20 d'abril, en relació al tancament i la Liquidació del Pressupost de l’Ajuntament de Petra  corresponent a l’exercici 2022, té l'honor de formular la present liquidació de l'exercici pressupostari del 2022.</w:t>
      </w:r>
    </w:p>
    <w:p>
      <w:pPr>
        <w:pStyle w:val="PlainText"/>
        <w:jc w:val="both"/>
        <w:rPr>
          <w:rFonts w:ascii="Calibri" w:hAnsi="Calibri" w:cs="Calibri"/>
          <w:sz w:val="22"/>
          <w:szCs w:val="22"/>
        </w:rPr>
      </w:pPr>
      <w:r>
        <w:rPr>
          <w:rFonts w:cs="Calibri" w:ascii="Calibri" w:hAnsi="Calibri"/>
          <w:sz w:val="22"/>
          <w:szCs w:val="22"/>
        </w:rPr>
      </w:r>
    </w:p>
    <w:p>
      <w:pPr>
        <w:pStyle w:val="PlainText"/>
        <w:numPr>
          <w:ilvl w:val="0"/>
          <w:numId w:val="6"/>
        </w:numPr>
        <w:jc w:val="both"/>
        <w:rPr>
          <w:rFonts w:ascii="Calibri" w:hAnsi="Calibri" w:cs="Calibri" w:asciiTheme="minorHAnsi" w:hAnsiTheme="minorHAnsi"/>
          <w:sz w:val="22"/>
          <w:szCs w:val="22"/>
        </w:rPr>
      </w:pPr>
      <w:r>
        <w:rPr>
          <w:rFonts w:cs="Calibri" w:ascii="Calibri" w:hAnsi="Calibri" w:asciiTheme="minorHAnsi" w:hAnsiTheme="minorHAnsi"/>
          <w:b/>
          <w:sz w:val="22"/>
          <w:szCs w:val="22"/>
        </w:rPr>
        <w:t xml:space="preserve">NORMATIVA APLICABLE </w:t>
      </w:r>
    </w:p>
    <w:p>
      <w:pPr>
        <w:pStyle w:val="PlainText"/>
        <w:ind w:left="720" w:hanging="0"/>
        <w:jc w:val="both"/>
        <w:rPr>
          <w:rFonts w:ascii="Calibri" w:hAnsi="Calibri" w:cs="Calibri" w:asciiTheme="minorHAnsi" w:hAnsiTheme="minorHAnsi"/>
          <w:sz w:val="22"/>
          <w:szCs w:val="22"/>
        </w:rPr>
      </w:pPr>
      <w:r>
        <w:rPr>
          <w:rFonts w:cs="Calibri" w:ascii="Calibri" w:hAnsi="Calibri"/>
          <w:sz w:val="22"/>
          <w:szCs w:val="22"/>
        </w:rPr>
      </w:r>
    </w:p>
    <w:p>
      <w:pPr>
        <w:pStyle w:val="PlainText"/>
        <w:numPr>
          <w:ilvl w:val="0"/>
          <w:numId w:val="7"/>
        </w:numPr>
        <w:jc w:val="both"/>
        <w:rPr>
          <w:rFonts w:ascii="Calibri" w:hAnsi="Calibri" w:cs="Calibri" w:asciiTheme="minorHAnsi" w:hAnsiTheme="minorHAnsi"/>
          <w:sz w:val="22"/>
          <w:szCs w:val="22"/>
        </w:rPr>
      </w:pPr>
      <w:r>
        <w:rPr>
          <w:rFonts w:cs="Calibri" w:ascii="Calibri" w:hAnsi="Calibri" w:asciiTheme="minorHAnsi" w:hAnsiTheme="minorHAnsi"/>
          <w:sz w:val="22"/>
          <w:szCs w:val="22"/>
        </w:rPr>
        <w:t>Reial Decret Legislatiu 2/2004, de 5 de març, pel que s’aprova el Test refós de la Llei reguladora de les Hisendes Locals.</w:t>
      </w:r>
    </w:p>
    <w:p>
      <w:pPr>
        <w:pStyle w:val="PlainText"/>
        <w:numPr>
          <w:ilvl w:val="0"/>
          <w:numId w:val="7"/>
        </w:numPr>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Reial Decret 500/1990, de 20 d’abril, pel que es desenvolupa el Capítol primer del Títol sisè de la Llei 39/1988, de 28 de desembre, reguladora de les Hisendes Locals, en matèria de pressupostos. </w:t>
      </w:r>
    </w:p>
    <w:p>
      <w:pPr>
        <w:pStyle w:val="PlainText"/>
        <w:numPr>
          <w:ilvl w:val="0"/>
          <w:numId w:val="7"/>
        </w:numPr>
        <w:jc w:val="both"/>
        <w:rPr>
          <w:rFonts w:ascii="Calibri" w:hAnsi="Calibri" w:cs="Calibri" w:asciiTheme="minorHAnsi" w:hAnsiTheme="minorHAnsi"/>
          <w:sz w:val="22"/>
          <w:szCs w:val="22"/>
        </w:rPr>
      </w:pPr>
      <w:r>
        <w:rPr>
          <w:rFonts w:cs="Calibri" w:ascii="Calibri" w:hAnsi="Calibri" w:asciiTheme="minorHAnsi" w:hAnsiTheme="minorHAnsi"/>
          <w:sz w:val="22"/>
          <w:szCs w:val="22"/>
        </w:rPr>
        <w:t>Ordre HAP/1781/2013, de 20 de setembre, per la qual s’aprova la Instrucció del model normal de comptabilitat Local (ICAL).</w:t>
      </w:r>
    </w:p>
    <w:p>
      <w:pPr>
        <w:pStyle w:val="PlainText"/>
        <w:numPr>
          <w:ilvl w:val="0"/>
          <w:numId w:val="7"/>
        </w:numPr>
        <w:jc w:val="both"/>
        <w:rPr>
          <w:rFonts w:ascii="Calibri" w:hAnsi="Calibri" w:cs="Calibri" w:asciiTheme="minorHAnsi" w:hAnsiTheme="minorHAnsi"/>
          <w:sz w:val="22"/>
          <w:szCs w:val="22"/>
        </w:rPr>
      </w:pPr>
      <w:r>
        <w:rPr>
          <w:rFonts w:cs="Calibri" w:ascii="Calibri" w:hAnsi="Calibri" w:asciiTheme="minorHAnsi" w:hAnsiTheme="minorHAnsi"/>
          <w:sz w:val="22"/>
          <w:szCs w:val="22"/>
        </w:rPr>
        <w:t>Llei Orgànica 2/2012, de 27 d’abril, d’estabilitat pressupostaria i sostenibilitat financera</w:t>
      </w:r>
    </w:p>
    <w:p>
      <w:pPr>
        <w:pStyle w:val="PlainText"/>
        <w:numPr>
          <w:ilvl w:val="0"/>
          <w:numId w:val="7"/>
        </w:numPr>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RD 1463/2007, de 2 de Novembre, pel qual  s’aprova el Reglament de desenvolupament de la Llei 18/2001 d’Estabilitat Pressupostaria, en la seva aplicació a les entitats locals. </w:t>
      </w:r>
    </w:p>
    <w:p>
      <w:pPr>
        <w:pStyle w:val="ListParagraph"/>
        <w:numPr>
          <w:ilvl w:val="0"/>
          <w:numId w:val="7"/>
        </w:numPr>
        <w:jc w:val="both"/>
        <w:rPr>
          <w:rFonts w:ascii="Calibri" w:hAnsi="Calibri" w:cs="Calibri" w:asciiTheme="minorHAnsi" w:hAnsiTheme="minorHAnsi"/>
          <w:sz w:val="22"/>
          <w:szCs w:val="22"/>
        </w:rPr>
      </w:pPr>
      <w:r>
        <w:rPr>
          <w:rFonts w:cs="Calibri" w:ascii="Calibri" w:hAnsi="Calibri" w:asciiTheme="minorHAnsi" w:hAnsiTheme="minorHAnsi"/>
          <w:sz w:val="22"/>
          <w:szCs w:val="22"/>
        </w:rPr>
        <w:t>L'Ordre HAP/2105/2012, d'1 d'octubre, per la qual es desenvolupen les obligacions de subministrament d'informació previstes en la Llei Orgànica 2/2012, de 27 d'abril, d'Estabilitat Pressupostària i Sostenibilitat Financera</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numPr>
          <w:ilvl w:val="0"/>
          <w:numId w:val="6"/>
        </w:numPr>
        <w:jc w:val="both"/>
        <w:rPr>
          <w:rFonts w:ascii="Calibri" w:hAnsi="Calibri" w:cs="Calibri" w:asciiTheme="minorHAnsi" w:hAnsiTheme="minorHAnsi"/>
          <w:sz w:val="22"/>
          <w:szCs w:val="22"/>
        </w:rPr>
      </w:pPr>
      <w:r>
        <w:rPr>
          <w:rFonts w:cs="Calibri" w:ascii="Calibri" w:hAnsi="Calibri" w:asciiTheme="minorHAnsi" w:hAnsiTheme="minorHAnsi"/>
          <w:b/>
          <w:sz w:val="22"/>
          <w:szCs w:val="22"/>
        </w:rPr>
        <w:t xml:space="preserve">RESULTAT PRESSUPOSTARI I ROMANENT DE TRESORERIA </w:t>
      </w:r>
    </w:p>
    <w:p>
      <w:pPr>
        <w:pStyle w:val="PlainText"/>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t xml:space="preserve">De l’esmentada liquidació es dedueix el següent </w:t>
      </w:r>
      <w:r>
        <w:rPr>
          <w:rFonts w:cs="Calibri" w:ascii="Calibri" w:hAnsi="Calibri"/>
          <w:sz w:val="22"/>
          <w:szCs w:val="22"/>
          <w:u w:val="single"/>
        </w:rPr>
        <w:t>Resultat Pressupostari</w:t>
      </w:r>
      <w:r>
        <w:rPr>
          <w:rFonts w:cs="Calibri" w:ascii="Calibri" w:hAnsi="Calibri"/>
          <w:sz w:val="22"/>
          <w:szCs w:val="22"/>
        </w:rPr>
        <w:t>:</w:t>
      </w:r>
    </w:p>
    <w:p>
      <w:pPr>
        <w:pStyle w:val="PlainText"/>
        <w:ind w:firstLine="360"/>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tbl>
      <w:tblPr>
        <w:tblW w:w="7371" w:type="dxa"/>
        <w:jc w:val="left"/>
        <w:tblInd w:w="534" w:type="dxa"/>
        <w:tblLayout w:type="fixed"/>
        <w:tblCellMar>
          <w:top w:w="0" w:type="dxa"/>
          <w:left w:w="108" w:type="dxa"/>
          <w:bottom w:w="0" w:type="dxa"/>
          <w:right w:w="108" w:type="dxa"/>
        </w:tblCellMar>
        <w:tblLook w:firstRow="1" w:noVBand="1" w:lastRow="0" w:firstColumn="1" w:lastColumn="0" w:noHBand="0" w:val="04a0"/>
      </w:tblPr>
      <w:tblGrid>
        <w:gridCol w:w="566"/>
        <w:gridCol w:w="4536"/>
        <w:gridCol w:w="2269"/>
      </w:tblGrid>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1.</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DRETS RECONEGUTS NETS</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3.298.696,25</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2.</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OBLIGACIONS RECONEGUDES NETES</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9.057.834,43</w:t>
            </w:r>
          </w:p>
        </w:tc>
      </w:tr>
      <w:tr>
        <w:trPr/>
        <w:tc>
          <w:tcPr>
            <w:tcW w:w="56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r>
          </w:p>
        </w:tc>
        <w:tc>
          <w:tcPr>
            <w:tcW w:w="453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t>RESULTAT PRESSUPOSTARI DE L’EXERCICI</w:t>
            </w:r>
          </w:p>
        </w:tc>
        <w:tc>
          <w:tcPr>
            <w:tcW w:w="2269" w:type="dxa"/>
            <w:tcBorders/>
            <w:shd w:color="auto" w:fill="auto" w:val="clear"/>
          </w:tcPr>
          <w:p>
            <w:pPr>
              <w:pStyle w:val="PlainText"/>
              <w:widowControl w:val="false"/>
              <w:jc w:val="right"/>
              <w:rPr>
                <w:rFonts w:ascii="Calibri" w:hAnsi="Calibri" w:cs="Calibri"/>
                <w:b/>
                <w:b/>
                <w:sz w:val="22"/>
                <w:szCs w:val="22"/>
              </w:rPr>
            </w:pPr>
            <w:r>
              <w:rPr>
                <w:rFonts w:cs="Calibri" w:ascii="Calibri" w:hAnsi="Calibri"/>
                <w:b/>
                <w:sz w:val="22"/>
                <w:szCs w:val="22"/>
              </w:rPr>
              <w:t>-5.759.138,18</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3.</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Crèdits finançats amb romanent general</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6.198.120,32</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4.</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Desviacions de finançament negatiu</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460.892,46</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5.</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Desviacions de finançament positiu</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268.446,29</w:t>
            </w:r>
          </w:p>
        </w:tc>
      </w:tr>
      <w:tr>
        <w:trPr/>
        <w:tc>
          <w:tcPr>
            <w:tcW w:w="56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r>
          </w:p>
        </w:tc>
        <w:tc>
          <w:tcPr>
            <w:tcW w:w="453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t>RESULTAT PRESSUPOSTARI AJUSTAT</w:t>
            </w:r>
          </w:p>
        </w:tc>
        <w:tc>
          <w:tcPr>
            <w:tcW w:w="2269" w:type="dxa"/>
            <w:tcBorders/>
            <w:shd w:color="auto" w:fill="auto" w:val="clear"/>
          </w:tcPr>
          <w:p>
            <w:pPr>
              <w:pStyle w:val="PlainText"/>
              <w:widowControl w:val="false"/>
              <w:jc w:val="right"/>
              <w:rPr>
                <w:rFonts w:ascii="Calibri" w:hAnsi="Calibri" w:cs="Calibri"/>
                <w:b/>
                <w:b/>
                <w:sz w:val="22"/>
                <w:szCs w:val="22"/>
              </w:rPr>
            </w:pPr>
            <w:r>
              <w:rPr>
                <w:rFonts w:cs="Calibri" w:ascii="Calibri" w:hAnsi="Calibri"/>
                <w:b/>
                <w:sz w:val="22"/>
                <w:szCs w:val="22"/>
              </w:rPr>
              <w:t>631.428,31</w:t>
            </w:r>
          </w:p>
        </w:tc>
      </w:tr>
    </w:tbl>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       </w:t>
      </w:r>
    </w:p>
    <w:p>
      <w:pPr>
        <w:pStyle w:val="PlainText"/>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       </w:t>
      </w:r>
    </w:p>
    <w:p>
      <w:pPr>
        <w:pStyle w:val="PlainText"/>
        <w:jc w:val="both"/>
        <w:rPr>
          <w:rFonts w:ascii="Calibri" w:hAnsi="Calibri" w:cs="Calibri" w:asciiTheme="minorHAnsi" w:hAnsiTheme="minorHAnsi"/>
          <w:sz w:val="22"/>
          <w:szCs w:val="22"/>
        </w:rPr>
      </w:pPr>
      <w:r>
        <w:rPr>
          <w:rFonts w:cs="Calibri" w:ascii="Calibri" w:hAnsi="Calibri"/>
          <w:sz w:val="22"/>
          <w:szCs w:val="22"/>
        </w:rPr>
      </w:r>
    </w:p>
    <w:p>
      <w:pPr>
        <w:pStyle w:val="PlainText"/>
        <w:ind w:firstLine="708"/>
        <w:jc w:val="both"/>
        <w:rPr>
          <w:rFonts w:ascii="Calibri" w:hAnsi="Calibri" w:cs="Calibri"/>
          <w:sz w:val="22"/>
          <w:szCs w:val="22"/>
        </w:rPr>
      </w:pPr>
      <w:r>
        <w:rPr>
          <w:rFonts w:cs="Calibri" w:ascii="Calibri" w:hAnsi="Calibri" w:asciiTheme="minorHAnsi" w:hAnsiTheme="minorHAnsi"/>
          <w:sz w:val="22"/>
          <w:szCs w:val="22"/>
        </w:rPr>
        <w:t xml:space="preserve">Els crèdits finançats amb romanent general de tresoreria de l’exercici 2021, corresponen al següent detall per capítols: </w:t>
      </w:r>
    </w:p>
    <w:tbl>
      <w:tblPr>
        <w:tblW w:w="6953"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1200"/>
        <w:gridCol w:w="3920"/>
        <w:gridCol w:w="1833"/>
      </w:tblGrid>
      <w:tr>
        <w:trPr>
          <w:trHeight w:val="300" w:hRule="atLeast"/>
        </w:trPr>
        <w:tc>
          <w:tcPr>
            <w:tcW w:w="1200" w:type="dxa"/>
            <w:tcBorders>
              <w:top w:val="single" w:sz="8" w:space="0" w:color="000000"/>
              <w:left w:val="single" w:sz="8" w:space="0" w:color="000000"/>
              <w:right w:val="single" w:sz="4" w:space="0" w:color="000000"/>
            </w:tcBorders>
            <w:shd w:color="auto" w:fill="D9D9D9" w:themeFill="background1" w:themeFillShade="d9" w:val="clear"/>
            <w:vAlign w:val="bottom"/>
          </w:tcPr>
          <w:p>
            <w:pPr>
              <w:pStyle w:val="Normal"/>
              <w:widowControl w:val="false"/>
              <w:jc w:val="center"/>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PARTIDA</w:t>
            </w:r>
          </w:p>
        </w:tc>
        <w:tc>
          <w:tcPr>
            <w:tcW w:w="3920" w:type="dxa"/>
            <w:tcBorders>
              <w:top w:val="single" w:sz="8" w:space="0" w:color="000000"/>
              <w:left w:val="single" w:sz="4" w:space="0" w:color="000000"/>
              <w:right w:val="single" w:sz="4" w:space="0" w:color="000000"/>
            </w:tcBorders>
            <w:shd w:color="auto" w:fill="D9D9D9" w:themeFill="background1" w:themeFillShade="d9" w:val="clear"/>
            <w:vAlign w:val="bottom"/>
          </w:tcPr>
          <w:p>
            <w:pPr>
              <w:pStyle w:val="Normal"/>
              <w:widowControl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w:t>
            </w:r>
          </w:p>
        </w:tc>
        <w:tc>
          <w:tcPr>
            <w:tcW w:w="1833" w:type="dxa"/>
            <w:tcBorders>
              <w:top w:val="single" w:sz="8" w:space="0" w:color="000000"/>
              <w:left w:val="single" w:sz="4" w:space="0" w:color="000000"/>
              <w:right w:val="single" w:sz="8" w:space="0" w:color="000000"/>
            </w:tcBorders>
            <w:shd w:color="auto" w:fill="D9D9D9" w:themeFill="background1" w:themeFillShade="d9" w:val="clear"/>
            <w:vAlign w:val="bottom"/>
          </w:tcPr>
          <w:p>
            <w:pPr>
              <w:pStyle w:val="Normal"/>
              <w:widowControl w:val="false"/>
              <w:jc w:val="center"/>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DESPESESES</w:t>
            </w:r>
          </w:p>
        </w:tc>
      </w:tr>
      <w:tr>
        <w:trPr>
          <w:trHeight w:val="315" w:hRule="atLeast"/>
        </w:trPr>
        <w:tc>
          <w:tcPr>
            <w:tcW w:w="1200" w:type="dxa"/>
            <w:tcBorders>
              <w:left w:val="single" w:sz="8" w:space="0" w:color="000000"/>
              <w:bottom w:val="single" w:sz="8" w:space="0" w:color="000000"/>
              <w:right w:val="single" w:sz="4" w:space="0" w:color="000000"/>
            </w:tcBorders>
            <w:shd w:color="auto" w:fill="D9D9D9" w:themeFill="background1" w:themeFillShade="d9" w:val="clear"/>
            <w:vAlign w:val="bottom"/>
          </w:tcPr>
          <w:p>
            <w:pPr>
              <w:pStyle w:val="Normal"/>
              <w:widowControl w:val="false"/>
              <w:jc w:val="center"/>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PPOST.</w:t>
            </w:r>
          </w:p>
        </w:tc>
        <w:tc>
          <w:tcPr>
            <w:tcW w:w="3920" w:type="dxa"/>
            <w:tcBorders>
              <w:left w:val="single" w:sz="4" w:space="0" w:color="000000"/>
              <w:bottom w:val="single" w:sz="8" w:space="0" w:color="000000"/>
              <w:right w:val="single" w:sz="4" w:space="0" w:color="000000"/>
            </w:tcBorders>
            <w:shd w:color="auto" w:fill="D9D9D9" w:themeFill="background1" w:themeFillShade="d9" w:val="clear"/>
            <w:vAlign w:val="bottom"/>
          </w:tcPr>
          <w:p>
            <w:pPr>
              <w:pStyle w:val="Normal"/>
              <w:widowControl w:val="false"/>
              <w:jc w:val="center"/>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DESCRIPCIÓ</w:t>
            </w:r>
          </w:p>
        </w:tc>
        <w:tc>
          <w:tcPr>
            <w:tcW w:w="1833" w:type="dxa"/>
            <w:tcBorders>
              <w:left w:val="single" w:sz="4" w:space="0" w:color="000000"/>
              <w:bottom w:val="single" w:sz="8" w:space="0" w:color="000000"/>
              <w:right w:val="single" w:sz="8" w:space="0" w:color="000000"/>
            </w:tcBorders>
            <w:shd w:color="auto" w:fill="D9D9D9" w:themeFill="background1" w:themeFillShade="d9" w:val="clear"/>
            <w:vAlign w:val="bottom"/>
          </w:tcPr>
          <w:p>
            <w:pPr>
              <w:pStyle w:val="Normal"/>
              <w:widowControl w:val="false"/>
              <w:jc w:val="center"/>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FINANÇ.ROMANENT</w:t>
            </w:r>
          </w:p>
        </w:tc>
      </w:tr>
      <w:tr>
        <w:trPr>
          <w:trHeight w:val="300" w:hRule="atLeast"/>
        </w:trPr>
        <w:tc>
          <w:tcPr>
            <w:tcW w:w="1200" w:type="dxa"/>
            <w:tcBorders>
              <w:left w:val="single" w:sz="8" w:space="0" w:color="000000"/>
              <w:bottom w:val="single" w:sz="4" w:space="0" w:color="000000"/>
              <w:right w:val="single" w:sz="4" w:space="0" w:color="000000"/>
            </w:tcBorders>
            <w:shd w:color="000000" w:fill="FFFFFF" w:val="clear"/>
            <w:vAlign w:val="bottom"/>
          </w:tcPr>
          <w:p>
            <w:pPr>
              <w:pStyle w:val="Normal"/>
              <w:widowControl w:val="false"/>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CAPÍTOL I</w:t>
            </w:r>
          </w:p>
        </w:tc>
        <w:tc>
          <w:tcPr>
            <w:tcW w:w="3920" w:type="dxa"/>
            <w:tcBorders>
              <w:bottom w:val="single" w:sz="4" w:space="0" w:color="000000"/>
              <w:right w:val="single" w:sz="4" w:space="0" w:color="000000"/>
            </w:tcBorders>
            <w:shd w:color="000000" w:fill="FFFFFF" w:val="clear"/>
            <w:vAlign w:val="bottom"/>
          </w:tcPr>
          <w:p>
            <w:pPr>
              <w:pStyle w:val="Normal"/>
              <w:widowControl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DESPESES DE PERSONAL</w:t>
            </w:r>
          </w:p>
        </w:tc>
        <w:tc>
          <w:tcPr>
            <w:tcW w:w="1833" w:type="dxa"/>
            <w:tcBorders>
              <w:bottom w:val="single" w:sz="4" w:space="0" w:color="000000"/>
              <w:right w:val="single" w:sz="8" w:space="0" w:color="000000"/>
            </w:tcBorders>
            <w:shd w:color="000000" w:fill="FFFFFF" w:val="clear"/>
            <w:vAlign w:val="bottom"/>
          </w:tcPr>
          <w:p>
            <w:pPr>
              <w:pStyle w:val="Normal"/>
              <w:widowControl w:val="false"/>
              <w:jc w:val="righ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133.772,52</w:t>
            </w:r>
          </w:p>
        </w:tc>
      </w:tr>
      <w:tr>
        <w:trPr>
          <w:trHeight w:val="300" w:hRule="atLeast"/>
        </w:trPr>
        <w:tc>
          <w:tcPr>
            <w:tcW w:w="1200" w:type="dxa"/>
            <w:tcBorders>
              <w:left w:val="single" w:sz="8" w:space="0" w:color="000000"/>
              <w:bottom w:val="single" w:sz="4" w:space="0" w:color="000000"/>
              <w:right w:val="single" w:sz="4" w:space="0" w:color="000000"/>
            </w:tcBorders>
            <w:shd w:color="000000" w:fill="FFFFFF" w:val="clear"/>
            <w:vAlign w:val="bottom"/>
          </w:tcPr>
          <w:p>
            <w:pPr>
              <w:pStyle w:val="Normal"/>
              <w:widowControl w:val="false"/>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CAPÍTOL II</w:t>
            </w:r>
          </w:p>
        </w:tc>
        <w:tc>
          <w:tcPr>
            <w:tcW w:w="3920" w:type="dxa"/>
            <w:tcBorders>
              <w:bottom w:val="single" w:sz="4" w:space="0" w:color="000000"/>
              <w:right w:val="single" w:sz="4" w:space="0" w:color="000000"/>
            </w:tcBorders>
            <w:shd w:color="000000" w:fill="FFFFFF" w:val="clear"/>
            <w:vAlign w:val="bottom"/>
          </w:tcPr>
          <w:p>
            <w:pPr>
              <w:pStyle w:val="Normal"/>
              <w:widowControl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DESPESES CORRENTS EN BÉNS I SERVEIS</w:t>
            </w:r>
          </w:p>
        </w:tc>
        <w:tc>
          <w:tcPr>
            <w:tcW w:w="1833" w:type="dxa"/>
            <w:tcBorders>
              <w:bottom w:val="single" w:sz="4" w:space="0" w:color="000000"/>
              <w:right w:val="single" w:sz="8" w:space="0" w:color="000000"/>
            </w:tcBorders>
            <w:shd w:color="000000" w:fill="FFFFFF" w:val="clear"/>
            <w:vAlign w:val="bottom"/>
          </w:tcPr>
          <w:p>
            <w:pPr>
              <w:pStyle w:val="Normal"/>
              <w:widowControl w:val="false"/>
              <w:jc w:val="righ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2.081.276,21</w:t>
            </w:r>
          </w:p>
        </w:tc>
      </w:tr>
      <w:tr>
        <w:trPr>
          <w:trHeight w:val="300" w:hRule="atLeast"/>
        </w:trPr>
        <w:tc>
          <w:tcPr>
            <w:tcW w:w="1200" w:type="dxa"/>
            <w:tcBorders>
              <w:top w:val="single" w:sz="4" w:space="0" w:color="000000"/>
              <w:left w:val="single" w:sz="8" w:space="0" w:color="000000"/>
              <w:bottom w:val="single" w:sz="4" w:space="0" w:color="000000"/>
              <w:right w:val="single" w:sz="4" w:space="0" w:color="000000"/>
            </w:tcBorders>
            <w:shd w:color="000000" w:fill="FFFFFF" w:val="clear"/>
            <w:vAlign w:val="bottom"/>
          </w:tcPr>
          <w:p>
            <w:pPr>
              <w:pStyle w:val="Normal"/>
              <w:widowControl w:val="false"/>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CAPÍTOL III</w:t>
            </w:r>
          </w:p>
        </w:tc>
        <w:tc>
          <w:tcPr>
            <w:tcW w:w="3920" w:type="dxa"/>
            <w:tcBorders>
              <w:top w:val="single" w:sz="4" w:space="0" w:color="000000"/>
              <w:bottom w:val="single" w:sz="4" w:space="0" w:color="000000"/>
              <w:right w:val="single" w:sz="4" w:space="0" w:color="000000"/>
            </w:tcBorders>
            <w:shd w:color="000000" w:fill="FFFFFF" w:val="clear"/>
            <w:vAlign w:val="bottom"/>
          </w:tcPr>
          <w:p>
            <w:pPr>
              <w:pStyle w:val="Normal"/>
              <w:widowControl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DESPESES FINANCERES</w:t>
            </w:r>
          </w:p>
        </w:tc>
        <w:tc>
          <w:tcPr>
            <w:tcW w:w="1833" w:type="dxa"/>
            <w:tcBorders>
              <w:top w:val="single" w:sz="4" w:space="0" w:color="000000"/>
              <w:bottom w:val="single" w:sz="4" w:space="0" w:color="000000"/>
              <w:right w:val="single" w:sz="8" w:space="0" w:color="000000"/>
            </w:tcBorders>
            <w:shd w:color="000000" w:fill="FFFFFF" w:val="clear"/>
            <w:vAlign w:val="bottom"/>
          </w:tcPr>
          <w:p>
            <w:pPr>
              <w:pStyle w:val="Normal"/>
              <w:widowControl w:val="false"/>
              <w:jc w:val="righ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150.783,28</w:t>
            </w:r>
          </w:p>
        </w:tc>
      </w:tr>
      <w:tr>
        <w:trPr>
          <w:trHeight w:val="300" w:hRule="atLeast"/>
        </w:trPr>
        <w:tc>
          <w:tcPr>
            <w:tcW w:w="1200" w:type="dxa"/>
            <w:tcBorders>
              <w:top w:val="single" w:sz="4" w:space="0" w:color="000000"/>
              <w:left w:val="single" w:sz="8" w:space="0" w:color="000000"/>
              <w:right w:val="single" w:sz="4" w:space="0" w:color="000000"/>
            </w:tcBorders>
            <w:shd w:color="000000" w:fill="FFFFFF" w:val="clear"/>
            <w:vAlign w:val="bottom"/>
          </w:tcPr>
          <w:p>
            <w:pPr>
              <w:pStyle w:val="Normal"/>
              <w:widowControl w:val="false"/>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CAPÍTOL IV</w:t>
            </w:r>
          </w:p>
        </w:tc>
        <w:tc>
          <w:tcPr>
            <w:tcW w:w="3920" w:type="dxa"/>
            <w:tcBorders>
              <w:top w:val="single" w:sz="4" w:space="0" w:color="000000"/>
              <w:right w:val="single" w:sz="4" w:space="0" w:color="000000"/>
            </w:tcBorders>
            <w:shd w:color="000000" w:fill="FFFFFF" w:val="clear"/>
            <w:vAlign w:val="bottom"/>
          </w:tcPr>
          <w:p>
            <w:pPr>
              <w:pStyle w:val="Normal"/>
              <w:widowControl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TRANSFERÈNCIES CORRENTS</w:t>
            </w:r>
          </w:p>
        </w:tc>
        <w:tc>
          <w:tcPr>
            <w:tcW w:w="1833" w:type="dxa"/>
            <w:tcBorders>
              <w:top w:val="single" w:sz="4" w:space="0" w:color="000000"/>
              <w:right w:val="single" w:sz="8" w:space="0" w:color="000000"/>
            </w:tcBorders>
            <w:shd w:color="000000" w:fill="FFFFFF" w:val="clear"/>
            <w:vAlign w:val="bottom"/>
          </w:tcPr>
          <w:p>
            <w:pPr>
              <w:pStyle w:val="Normal"/>
              <w:widowControl w:val="false"/>
              <w:jc w:val="righ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218.492,83</w:t>
            </w:r>
          </w:p>
        </w:tc>
      </w:tr>
      <w:tr>
        <w:trPr>
          <w:trHeight w:val="300" w:hRule="atLeast"/>
        </w:trPr>
        <w:tc>
          <w:tcPr>
            <w:tcW w:w="1200" w:type="dxa"/>
            <w:tcBorders>
              <w:top w:val="single" w:sz="4" w:space="0" w:color="000000"/>
              <w:left w:val="single" w:sz="8" w:space="0" w:color="000000"/>
              <w:right w:val="single" w:sz="4" w:space="0" w:color="000000"/>
            </w:tcBorders>
            <w:shd w:color="000000" w:fill="FFFFFF" w:val="clear"/>
            <w:vAlign w:val="bottom"/>
          </w:tcPr>
          <w:p>
            <w:pPr>
              <w:pStyle w:val="Normal"/>
              <w:widowControl w:val="false"/>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CAPÍTOL VI</w:t>
            </w:r>
          </w:p>
        </w:tc>
        <w:tc>
          <w:tcPr>
            <w:tcW w:w="3920" w:type="dxa"/>
            <w:tcBorders>
              <w:top w:val="single" w:sz="4" w:space="0" w:color="000000"/>
              <w:right w:val="single" w:sz="4" w:space="0" w:color="000000"/>
            </w:tcBorders>
            <w:shd w:color="000000" w:fill="FFFFFF" w:val="clear"/>
            <w:vAlign w:val="bottom"/>
          </w:tcPr>
          <w:p>
            <w:pPr>
              <w:pStyle w:val="Normal"/>
              <w:widowControl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INVERSIONS REALS</w:t>
            </w:r>
          </w:p>
        </w:tc>
        <w:tc>
          <w:tcPr>
            <w:tcW w:w="1833" w:type="dxa"/>
            <w:tcBorders>
              <w:top w:val="single" w:sz="4" w:space="0" w:color="000000"/>
              <w:right w:val="single" w:sz="8" w:space="0" w:color="000000"/>
            </w:tcBorders>
            <w:shd w:color="000000" w:fill="FFFFFF" w:val="clear"/>
            <w:vAlign w:val="bottom"/>
          </w:tcPr>
          <w:p>
            <w:pPr>
              <w:pStyle w:val="Normal"/>
              <w:widowControl w:val="false"/>
              <w:jc w:val="righ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3.198.585,94</w:t>
            </w:r>
          </w:p>
        </w:tc>
      </w:tr>
      <w:tr>
        <w:trPr>
          <w:trHeight w:val="300" w:hRule="atLeast"/>
        </w:trPr>
        <w:tc>
          <w:tcPr>
            <w:tcW w:w="1200" w:type="dxa"/>
            <w:tcBorders>
              <w:top w:val="single" w:sz="4" w:space="0" w:color="000000"/>
              <w:left w:val="single" w:sz="8" w:space="0" w:color="000000"/>
              <w:right w:val="single" w:sz="4" w:space="0" w:color="000000"/>
            </w:tcBorders>
            <w:shd w:color="000000" w:fill="FFFFFF" w:val="clear"/>
            <w:vAlign w:val="bottom"/>
          </w:tcPr>
          <w:p>
            <w:pPr>
              <w:pStyle w:val="Normal"/>
              <w:widowControl w:val="false"/>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CAPÍTOL VII</w:t>
            </w:r>
          </w:p>
        </w:tc>
        <w:tc>
          <w:tcPr>
            <w:tcW w:w="3920" w:type="dxa"/>
            <w:tcBorders>
              <w:top w:val="single" w:sz="4" w:space="0" w:color="000000"/>
              <w:right w:val="single" w:sz="4" w:space="0" w:color="000000"/>
            </w:tcBorders>
            <w:shd w:color="000000" w:fill="FFFFFF" w:val="clear"/>
            <w:vAlign w:val="bottom"/>
          </w:tcPr>
          <w:p>
            <w:pPr>
              <w:pStyle w:val="Normal"/>
              <w:widowControl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TRANSFERÈNCIES DE CAPITAL</w:t>
            </w:r>
          </w:p>
        </w:tc>
        <w:tc>
          <w:tcPr>
            <w:tcW w:w="1833" w:type="dxa"/>
            <w:tcBorders>
              <w:top w:val="single" w:sz="4" w:space="0" w:color="000000"/>
              <w:right w:val="single" w:sz="8" w:space="0" w:color="000000"/>
            </w:tcBorders>
            <w:shd w:color="000000" w:fill="FFFFFF" w:val="clear"/>
            <w:vAlign w:val="bottom"/>
          </w:tcPr>
          <w:p>
            <w:pPr>
              <w:pStyle w:val="Normal"/>
              <w:widowControl w:val="false"/>
              <w:jc w:val="righ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23.976,26</w:t>
            </w:r>
          </w:p>
        </w:tc>
      </w:tr>
      <w:tr>
        <w:trPr>
          <w:trHeight w:val="300" w:hRule="atLeast"/>
        </w:trPr>
        <w:tc>
          <w:tcPr>
            <w:tcW w:w="1200" w:type="dxa"/>
            <w:tcBorders>
              <w:top w:val="single" w:sz="4" w:space="0" w:color="000000"/>
              <w:left w:val="single" w:sz="8" w:space="0" w:color="000000"/>
              <w:right w:val="single" w:sz="4" w:space="0" w:color="000000"/>
            </w:tcBorders>
            <w:shd w:color="000000" w:fill="FFFFFF" w:val="clear"/>
            <w:vAlign w:val="bottom"/>
          </w:tcPr>
          <w:p>
            <w:pPr>
              <w:pStyle w:val="Normal"/>
              <w:widowControl w:val="false"/>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CAPÍTOL IX</w:t>
            </w:r>
          </w:p>
        </w:tc>
        <w:tc>
          <w:tcPr>
            <w:tcW w:w="3920" w:type="dxa"/>
            <w:tcBorders>
              <w:top w:val="single" w:sz="4" w:space="0" w:color="000000"/>
              <w:right w:val="single" w:sz="4" w:space="0" w:color="000000"/>
            </w:tcBorders>
            <w:shd w:color="000000" w:fill="FFFFFF" w:val="clear"/>
            <w:vAlign w:val="bottom"/>
          </w:tcPr>
          <w:p>
            <w:pPr>
              <w:pStyle w:val="Normal"/>
              <w:widowControl w:val="false"/>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PASSIUS FINANCERS</w:t>
            </w:r>
          </w:p>
        </w:tc>
        <w:tc>
          <w:tcPr>
            <w:tcW w:w="1833" w:type="dxa"/>
            <w:tcBorders>
              <w:top w:val="single" w:sz="4" w:space="0" w:color="000000"/>
              <w:right w:val="single" w:sz="8" w:space="0" w:color="000000"/>
            </w:tcBorders>
            <w:shd w:color="000000" w:fill="FFFFFF" w:val="clear"/>
            <w:vAlign w:val="bottom"/>
          </w:tcPr>
          <w:p>
            <w:pPr>
              <w:pStyle w:val="Normal"/>
              <w:widowControl w:val="false"/>
              <w:jc w:val="right"/>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391.233,28</w:t>
            </w:r>
          </w:p>
        </w:tc>
      </w:tr>
      <w:tr>
        <w:trPr>
          <w:trHeight w:val="315" w:hRule="atLeast"/>
        </w:trPr>
        <w:tc>
          <w:tcPr>
            <w:tcW w:w="1200" w:type="dxa"/>
            <w:tcBorders>
              <w:top w:val="single" w:sz="8" w:space="0" w:color="000000"/>
              <w:left w:val="single" w:sz="8" w:space="0" w:color="000000"/>
              <w:bottom w:val="single" w:sz="8" w:space="0" w:color="000000"/>
              <w:right w:val="single" w:sz="4" w:space="0" w:color="000000"/>
            </w:tcBorders>
            <w:shd w:color="auto" w:fill="D9D9D9" w:themeFill="background1" w:themeFillShade="d9" w:val="clear"/>
            <w:vAlign w:val="bottom"/>
          </w:tcPr>
          <w:p>
            <w:pPr>
              <w:pStyle w:val="Normal"/>
              <w:widowControl w:val="false"/>
              <w:jc w:val="center"/>
              <w:rPr>
                <w:rFonts w:ascii="Calibri" w:hAnsi="Calibri" w:cs="Calibri" w:asciiTheme="minorHAnsi" w:cstheme="minorHAnsi" w:hAnsiTheme="minorHAnsi"/>
                <w:sz w:val="20"/>
                <w:szCs w:val="20"/>
              </w:rPr>
            </w:pPr>
            <w:r>
              <w:rPr>
                <w:rFonts w:cs="Calibri" w:ascii="Calibri" w:hAnsi="Calibri" w:asciiTheme="minorHAnsi" w:cstheme="minorHAnsi" w:hAnsiTheme="minorHAnsi"/>
                <w:sz w:val="20"/>
                <w:szCs w:val="20"/>
              </w:rPr>
              <w:t> </w:t>
            </w:r>
          </w:p>
        </w:tc>
        <w:tc>
          <w:tcPr>
            <w:tcW w:w="3920" w:type="dxa"/>
            <w:tcBorders>
              <w:top w:val="single" w:sz="8" w:space="0" w:color="000000"/>
              <w:bottom w:val="single" w:sz="8" w:space="0" w:color="000000"/>
              <w:right w:val="single" w:sz="4" w:space="0" w:color="000000"/>
            </w:tcBorders>
            <w:shd w:color="auto" w:fill="D9D9D9" w:themeFill="background1" w:themeFillShade="d9" w:val="clear"/>
            <w:vAlign w:val="bottom"/>
          </w:tcPr>
          <w:p>
            <w:pPr>
              <w:pStyle w:val="Normal"/>
              <w:widowControl w:val="false"/>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 xml:space="preserve">TOTALS DESP. FINANÇ. AMB R. TRESORERIA </w:t>
            </w:r>
          </w:p>
        </w:tc>
        <w:tc>
          <w:tcPr>
            <w:tcW w:w="1833" w:type="dxa"/>
            <w:tcBorders>
              <w:top w:val="single" w:sz="8" w:space="0" w:color="000000"/>
              <w:bottom w:val="single" w:sz="8" w:space="0" w:color="000000"/>
              <w:right w:val="single" w:sz="8" w:space="0" w:color="000000"/>
            </w:tcBorders>
            <w:shd w:color="auto" w:fill="D9D9D9" w:themeFill="background1" w:themeFillShade="d9" w:val="clear"/>
            <w:vAlign w:val="bottom"/>
          </w:tcPr>
          <w:p>
            <w:pPr>
              <w:pStyle w:val="Normal"/>
              <w:widowControl w:val="false"/>
              <w:jc w:val="right"/>
              <w:rPr>
                <w:rFonts w:ascii="Calibri" w:hAnsi="Calibri" w:cs="Calibri" w:asciiTheme="minorHAnsi" w:cstheme="minorHAnsi" w:hAnsiTheme="minorHAnsi"/>
                <w:b/>
                <w:b/>
                <w:bCs/>
                <w:sz w:val="20"/>
                <w:szCs w:val="20"/>
              </w:rPr>
            </w:pPr>
            <w:r>
              <w:rPr>
                <w:rFonts w:cs="Calibri" w:ascii="Calibri" w:hAnsi="Calibri" w:asciiTheme="minorHAnsi" w:cstheme="minorHAnsi" w:hAnsiTheme="minorHAnsi"/>
                <w:b/>
                <w:bCs/>
                <w:sz w:val="20"/>
                <w:szCs w:val="20"/>
              </w:rPr>
              <w:t xml:space="preserve"> </w:t>
            </w:r>
          </w:p>
        </w:tc>
      </w:tr>
    </w:tbl>
    <w:p>
      <w:pPr>
        <w:pStyle w:val="PlainText"/>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asciiTheme="minorHAnsi" w:hAnsiTheme="minorHAnsi"/>
          <w:sz w:val="22"/>
          <w:szCs w:val="22"/>
        </w:rPr>
      </w:pPr>
      <w:r>
        <w:rPr>
          <w:rFonts w:cs="Calibri" w:ascii="Calibri" w:hAnsi="Calibri"/>
          <w:sz w:val="22"/>
          <w:szCs w:val="22"/>
        </w:rPr>
      </w:r>
    </w:p>
    <w:p>
      <w:pPr>
        <w:pStyle w:val="PlainText"/>
        <w:ind w:firstLine="708"/>
        <w:jc w:val="both"/>
        <w:rPr>
          <w:rFonts w:ascii="Calibri" w:hAnsi="Calibri" w:cs="Calibri" w:asciiTheme="minorHAnsi" w:hAnsiTheme="minorHAnsi"/>
          <w:sz w:val="22"/>
          <w:szCs w:val="22"/>
        </w:rPr>
      </w:pPr>
      <w:r>
        <w:rPr>
          <w:rFonts w:cs="Calibri" w:ascii="Calibri" w:hAnsi="Calibri" w:asciiTheme="minorHAnsi" w:hAnsiTheme="minorHAnsi"/>
          <w:sz w:val="22"/>
          <w:szCs w:val="22"/>
        </w:rPr>
        <w:t>Les desviacions de finançament procedeixen de diversos projectes d’inversions que d’acord al desenvolupament del procés inversor realitzat durant l’exercici, afecten a desviacions positives i negatives que s’ajusten finalment el resultat pressupostari de l’exercici 2022.</w:t>
      </w:r>
    </w:p>
    <w:p>
      <w:pPr>
        <w:pStyle w:val="PlainText"/>
        <w:jc w:val="both"/>
        <w:rPr>
          <w:rFonts w:ascii="Calibri" w:hAnsi="Calibri" w:cs="Calibri" w:asciiTheme="minorHAnsi" w:hAnsiTheme="minorHAnsi"/>
          <w:sz w:val="22"/>
          <w:szCs w:val="22"/>
        </w:rPr>
      </w:pPr>
      <w:r>
        <w:rPr>
          <w:rFonts w:cs="Calibri" w:ascii="Calibri" w:hAnsi="Calibri"/>
          <w:sz w:val="22"/>
          <w:szCs w:val="22"/>
        </w:rPr>
      </w:r>
    </w:p>
    <w:p>
      <w:pPr>
        <w:pStyle w:val="PlainText"/>
        <w:ind w:firstLine="708"/>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Les  desviacions positives i negatives de finançament per import de 268.446,89 euros i 460.892,46 euros, respectivament,  corresponen als següents projectes d’inversió, d’acord al següent detall: </w:t>
      </w:r>
    </w:p>
    <w:p>
      <w:pPr>
        <w:pStyle w:val="PlainText"/>
        <w:jc w:val="both"/>
        <w:rPr>
          <w:rFonts w:ascii="Calibri" w:hAnsi="Calibri" w:cs="Calibri" w:asciiTheme="minorHAnsi" w:hAnsiTheme="minorHAnsi"/>
          <w:sz w:val="22"/>
          <w:szCs w:val="22"/>
        </w:rPr>
      </w:pPr>
      <w:r>
        <w:rPr>
          <w:rFonts w:cs="Calibri" w:ascii="Calibri" w:hAnsi="Calibri"/>
          <w:sz w:val="22"/>
          <w:szCs w:val="22"/>
        </w:rPr>
      </w:r>
    </w:p>
    <w:tbl>
      <w:tblPr>
        <w:tblW w:w="8513"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1917"/>
        <w:gridCol w:w="4116"/>
        <w:gridCol w:w="1294"/>
        <w:gridCol w:w="1185"/>
      </w:tblGrid>
      <w:tr>
        <w:trPr>
          <w:trHeight w:val="255" w:hRule="atLeast"/>
        </w:trPr>
        <w:tc>
          <w:tcPr>
            <w:tcW w:w="1917" w:type="dxa"/>
            <w:vMerge w:val="restart"/>
            <w:tcBorders>
              <w:top w:val="single" w:sz="4" w:space="0" w:color="000000"/>
              <w:left w:val="single" w:sz="4" w:space="0" w:color="000000"/>
              <w:bottom w:val="single" w:sz="4" w:space="0" w:color="000000"/>
              <w:right w:val="single" w:sz="4" w:space="0" w:color="000000"/>
            </w:tcBorders>
            <w:shd w:color="000000" w:fill="D9D9D9" w:val="clear"/>
            <w:vAlign w:val="bottom"/>
          </w:tcPr>
          <w:p>
            <w:pPr>
              <w:pStyle w:val="Normal"/>
              <w:widowControl w:val="false"/>
              <w:jc w:val="center"/>
              <w:rPr>
                <w:rFonts w:ascii="Calibri" w:hAnsi="Calibri" w:cs="Calibri"/>
                <w:b/>
                <w:b/>
                <w:bCs/>
                <w:sz w:val="20"/>
                <w:szCs w:val="20"/>
              </w:rPr>
            </w:pPr>
            <w:r>
              <w:rPr>
                <w:rFonts w:cs="Calibri" w:ascii="Calibri" w:hAnsi="Calibri"/>
                <w:b/>
                <w:bCs/>
                <w:sz w:val="20"/>
                <w:szCs w:val="20"/>
              </w:rPr>
              <w:t xml:space="preserve">Codi Projecte </w:t>
            </w:r>
          </w:p>
        </w:tc>
        <w:tc>
          <w:tcPr>
            <w:tcW w:w="4116" w:type="dxa"/>
            <w:vMerge w:val="restart"/>
            <w:tcBorders>
              <w:top w:val="single" w:sz="4" w:space="0" w:color="000000"/>
              <w:left w:val="single" w:sz="4" w:space="0" w:color="000000"/>
              <w:bottom w:val="single" w:sz="4" w:space="0" w:color="000000"/>
              <w:right w:val="single" w:sz="4" w:space="0" w:color="000000"/>
            </w:tcBorders>
            <w:shd w:color="000000" w:fill="D9D9D9" w:val="clear"/>
            <w:vAlign w:val="bottom"/>
          </w:tcPr>
          <w:p>
            <w:pPr>
              <w:pStyle w:val="Normal"/>
              <w:widowControl w:val="false"/>
              <w:jc w:val="center"/>
              <w:rPr>
                <w:rFonts w:ascii="Calibri" w:hAnsi="Calibri" w:cs="Calibri"/>
                <w:b/>
                <w:b/>
                <w:bCs/>
                <w:sz w:val="20"/>
                <w:szCs w:val="20"/>
              </w:rPr>
            </w:pPr>
            <w:r>
              <w:rPr>
                <w:rFonts w:cs="Calibri" w:ascii="Calibri" w:hAnsi="Calibri"/>
                <w:b/>
                <w:bCs/>
                <w:sz w:val="20"/>
                <w:szCs w:val="20"/>
              </w:rPr>
              <w:t>Descripció</w:t>
            </w:r>
          </w:p>
        </w:tc>
        <w:tc>
          <w:tcPr>
            <w:tcW w:w="2479" w:type="dxa"/>
            <w:gridSpan w:val="2"/>
            <w:tcBorders>
              <w:top w:val="single" w:sz="4" w:space="0" w:color="000000"/>
              <w:bottom w:val="single" w:sz="4" w:space="0" w:color="000000"/>
              <w:right w:val="single" w:sz="4" w:space="0" w:color="000000"/>
            </w:tcBorders>
            <w:shd w:color="000000" w:fill="D9D9D9" w:val="clear"/>
            <w:vAlign w:val="bottom"/>
          </w:tcPr>
          <w:p>
            <w:pPr>
              <w:pStyle w:val="Normal"/>
              <w:widowControl w:val="false"/>
              <w:jc w:val="center"/>
              <w:rPr>
                <w:rFonts w:ascii="Calibri" w:hAnsi="Calibri" w:cs="Calibri"/>
                <w:b/>
                <w:b/>
                <w:bCs/>
                <w:sz w:val="20"/>
                <w:szCs w:val="20"/>
              </w:rPr>
            </w:pPr>
            <w:r>
              <w:rPr>
                <w:rFonts w:cs="Calibri" w:ascii="Calibri" w:hAnsi="Calibri"/>
                <w:b/>
                <w:bCs/>
                <w:sz w:val="20"/>
                <w:szCs w:val="20"/>
              </w:rPr>
              <w:t>Desviacions de l'exercici</w:t>
            </w:r>
          </w:p>
        </w:tc>
      </w:tr>
      <w:tr>
        <w:trPr>
          <w:trHeight w:val="255" w:hRule="atLeast"/>
        </w:trPr>
        <w:tc>
          <w:tcPr>
            <w:tcW w:w="191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b/>
                <w:b/>
                <w:bCs/>
                <w:sz w:val="20"/>
                <w:szCs w:val="20"/>
              </w:rPr>
            </w:pPr>
            <w:r>
              <w:rPr>
                <w:rFonts w:cs="Calibri" w:ascii="Calibri" w:hAnsi="Calibri"/>
                <w:b/>
                <w:bCs/>
                <w:sz w:val="20"/>
                <w:szCs w:val="20"/>
              </w:rPr>
            </w:r>
          </w:p>
        </w:tc>
        <w:tc>
          <w:tcPr>
            <w:tcW w:w="411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Calibri" w:hAnsi="Calibri" w:cs="Calibri"/>
                <w:b/>
                <w:b/>
                <w:bCs/>
                <w:sz w:val="20"/>
                <w:szCs w:val="20"/>
              </w:rPr>
            </w:pPr>
            <w:r>
              <w:rPr>
                <w:rFonts w:cs="Calibri" w:ascii="Calibri" w:hAnsi="Calibri"/>
                <w:b/>
                <w:bCs/>
                <w:sz w:val="20"/>
                <w:szCs w:val="20"/>
              </w:rPr>
            </w:r>
          </w:p>
        </w:tc>
        <w:tc>
          <w:tcPr>
            <w:tcW w:w="1294" w:type="dxa"/>
            <w:tcBorders>
              <w:bottom w:val="single" w:sz="4" w:space="0" w:color="000000"/>
              <w:right w:val="single" w:sz="4" w:space="0" w:color="000000"/>
            </w:tcBorders>
            <w:shd w:color="000000" w:fill="D9D9D9" w:val="clear"/>
            <w:vAlign w:val="bottom"/>
          </w:tcPr>
          <w:p>
            <w:pPr>
              <w:pStyle w:val="Normal"/>
              <w:widowControl w:val="false"/>
              <w:jc w:val="center"/>
              <w:rPr>
                <w:rFonts w:ascii="Calibri" w:hAnsi="Calibri" w:cs="Calibri"/>
                <w:b/>
                <w:b/>
                <w:bCs/>
                <w:sz w:val="20"/>
                <w:szCs w:val="20"/>
              </w:rPr>
            </w:pPr>
            <w:r>
              <w:rPr>
                <w:rFonts w:cs="Calibri" w:ascii="Calibri" w:hAnsi="Calibri"/>
                <w:b/>
                <w:bCs/>
                <w:sz w:val="20"/>
                <w:szCs w:val="20"/>
              </w:rPr>
              <w:t>Positives</w:t>
            </w:r>
          </w:p>
        </w:tc>
        <w:tc>
          <w:tcPr>
            <w:tcW w:w="1185" w:type="dxa"/>
            <w:tcBorders>
              <w:bottom w:val="single" w:sz="4" w:space="0" w:color="000000"/>
              <w:right w:val="single" w:sz="4" w:space="0" w:color="000000"/>
            </w:tcBorders>
            <w:shd w:color="000000" w:fill="D9D9D9" w:val="clear"/>
            <w:vAlign w:val="bottom"/>
          </w:tcPr>
          <w:p>
            <w:pPr>
              <w:pStyle w:val="Normal"/>
              <w:widowControl w:val="false"/>
              <w:jc w:val="center"/>
              <w:rPr>
                <w:rFonts w:ascii="Calibri" w:hAnsi="Calibri" w:cs="Calibri"/>
                <w:b/>
                <w:b/>
                <w:bCs/>
                <w:sz w:val="20"/>
                <w:szCs w:val="20"/>
              </w:rPr>
            </w:pPr>
            <w:r>
              <w:rPr>
                <w:rFonts w:cs="Calibri" w:ascii="Calibri" w:hAnsi="Calibri"/>
                <w:b/>
                <w:bCs/>
                <w:sz w:val="20"/>
                <w:szCs w:val="20"/>
              </w:rPr>
              <w:t>Negatives</w:t>
            </w:r>
          </w:p>
        </w:tc>
      </w:tr>
      <w:tr>
        <w:trPr>
          <w:trHeight w:val="255" w:hRule="atLeast"/>
        </w:trPr>
        <w:tc>
          <w:tcPr>
            <w:tcW w:w="1917"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2020-001-01</w:t>
            </w:r>
          </w:p>
        </w:tc>
        <w:tc>
          <w:tcPr>
            <w:tcW w:w="4116" w:type="dxa"/>
            <w:tcBorders>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MILLORA ASFALTAT CAMINS RURALS PETRA</w:t>
            </w:r>
          </w:p>
        </w:tc>
        <w:tc>
          <w:tcPr>
            <w:tcW w:w="1294"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0,00</w:t>
            </w:r>
          </w:p>
        </w:tc>
        <w:tc>
          <w:tcPr>
            <w:tcW w:w="1185"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93.910,75</w:t>
            </w:r>
          </w:p>
        </w:tc>
      </w:tr>
      <w:tr>
        <w:trPr>
          <w:trHeight w:val="255" w:hRule="atLeast"/>
        </w:trPr>
        <w:tc>
          <w:tcPr>
            <w:tcW w:w="1917" w:type="dxa"/>
            <w:tcBorders>
              <w:top w:val="single" w:sz="4" w:space="0" w:color="000000"/>
              <w:left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2020-010-01</w:t>
            </w:r>
          </w:p>
        </w:tc>
        <w:tc>
          <w:tcPr>
            <w:tcW w:w="4116" w:type="dxa"/>
            <w:tcBorders>
              <w:top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ALLOTJ.TURÍSTIC ADOQUINAT C/RECTORIA</w:t>
            </w:r>
          </w:p>
        </w:tc>
        <w:tc>
          <w:tcPr>
            <w:tcW w:w="1294"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0,00</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53.195,92</w:t>
            </w:r>
          </w:p>
        </w:tc>
      </w:tr>
      <w:tr>
        <w:trPr>
          <w:trHeight w:val="255" w:hRule="atLeast"/>
        </w:trPr>
        <w:tc>
          <w:tcPr>
            <w:tcW w:w="1917" w:type="dxa"/>
            <w:tcBorders>
              <w:top w:val="single" w:sz="4" w:space="0" w:color="000000"/>
              <w:left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2020-012-01</w:t>
            </w:r>
          </w:p>
        </w:tc>
        <w:tc>
          <w:tcPr>
            <w:tcW w:w="4116" w:type="dxa"/>
            <w:tcBorders>
              <w:top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SOIB DONA 2020-2021</w:t>
            </w:r>
          </w:p>
        </w:tc>
        <w:tc>
          <w:tcPr>
            <w:tcW w:w="1294"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0,00</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2.931,72</w:t>
            </w:r>
          </w:p>
        </w:tc>
      </w:tr>
      <w:tr>
        <w:trPr>
          <w:trHeight w:val="255" w:hRule="atLeast"/>
        </w:trPr>
        <w:tc>
          <w:tcPr>
            <w:tcW w:w="1917" w:type="dxa"/>
            <w:tcBorders>
              <w:top w:val="single" w:sz="4" w:space="0" w:color="000000"/>
              <w:left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2020-014-01</w:t>
            </w:r>
          </w:p>
        </w:tc>
        <w:tc>
          <w:tcPr>
            <w:tcW w:w="4116" w:type="dxa"/>
            <w:tcBorders>
              <w:top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PAESC 2020-2021</w:t>
            </w:r>
          </w:p>
        </w:tc>
        <w:tc>
          <w:tcPr>
            <w:tcW w:w="1294" w:type="dxa"/>
            <w:tcBorders>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0,00</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70.248,46</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2020-016-01</w:t>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POS 2020-2021 REHAB.ZONA ESTACIO VELLA</w:t>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0,00</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149.699,89</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2021-011-01</w:t>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SOIB REACTIVA 2021 AUX.ADMINISTRATIVA</w:t>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0,00</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7.942,52</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2021-012-01</w:t>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SOIB REACTIVA 2021 PEO BRIGADA</w:t>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0,00</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7.887,19</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2021-015-01</w:t>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CONSTRUCCIÓ CENTRE INFANTILA 0-3 ANYS</w:t>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50.000,00</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0,00</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2021-022-01</w:t>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MILLORES PLUVIALS I TANC.CAMP FUTBOL</w:t>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0,00</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10.000,00</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2021-023-02</w:t>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MILLORES INSTAL.LACIONS ESPORTIVES</w:t>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0,00</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65.076,01</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2022-002-01</w:t>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MILLORA XARXA CLAVEGUERAM</w:t>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3.865,65</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0,00</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2022-005-01</w:t>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PAPERERES RECOLLIDA SELECTIVA</w:t>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6.738,30</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0,00</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2022-010-01</w:t>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SOIB, JOVES QUALIFICATS 2022</w:t>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22.407,81</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0,00</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2022-011-01</w:t>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SOIB REACTIVA 2022</w:t>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52.020,57</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0,00</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2022-012-01</w:t>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PAESC 2022-2023 VEHICLE ELECTRIC</w:t>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41.140,00</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0,00</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2022-013-01</w:t>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PAESC 2022-2023 SERVEI AIGUA POTABLE</w:t>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48.402,29</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0,00</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2022-014-01</w:t>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PAESC 2022-2023 ALT.TREB.TÈCNICS X.AIGUA</w:t>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9.500,00</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0,00</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2022-015-01</w:t>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PAESC 2022-2023 CAMPANYA SENSIB.RESIDUS</w:t>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6.816,00</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0,00</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t>2022-018-01</w:t>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t>POS 2022-2023 DESPESA 2023</w:t>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t>27.555,67</w:t>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t>0,00</w:t>
            </w:r>
          </w:p>
        </w:tc>
      </w:tr>
      <w:tr>
        <w:trPr>
          <w:trHeight w:val="255" w:hRule="atLeast"/>
        </w:trPr>
        <w:tc>
          <w:tcPr>
            <w:tcW w:w="191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Calibri" w:hAnsi="Calibri" w:cs="Calibri"/>
                <w:sz w:val="20"/>
                <w:szCs w:val="20"/>
              </w:rPr>
            </w:pPr>
            <w:r>
              <w:rPr>
                <w:rFonts w:cs="Calibri" w:ascii="Calibri" w:hAnsi="Calibri"/>
                <w:sz w:val="20"/>
                <w:szCs w:val="20"/>
              </w:rPr>
            </w:r>
          </w:p>
        </w:tc>
        <w:tc>
          <w:tcPr>
            <w:tcW w:w="4116"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rPr>
                <w:rFonts w:ascii="Calibri" w:hAnsi="Calibri" w:cs="Calibri"/>
                <w:sz w:val="20"/>
                <w:szCs w:val="20"/>
              </w:rPr>
            </w:pPr>
            <w:r>
              <w:rPr>
                <w:rFonts w:cs="Calibri" w:ascii="Calibri" w:hAnsi="Calibri"/>
                <w:sz w:val="20"/>
                <w:szCs w:val="20"/>
              </w:rPr>
            </w:r>
          </w:p>
        </w:tc>
        <w:tc>
          <w:tcPr>
            <w:tcW w:w="1294"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right"/>
              <w:rPr>
                <w:rFonts w:ascii="Calibri" w:hAnsi="Calibri" w:cs="Calibri"/>
                <w:sz w:val="20"/>
                <w:szCs w:val="20"/>
              </w:rPr>
            </w:pPr>
            <w:r>
              <w:rPr>
                <w:rFonts w:cs="Calibri" w:ascii="Calibri" w:hAnsi="Calibri"/>
                <w:sz w:val="20"/>
                <w:szCs w:val="20"/>
              </w:rPr>
            </w:r>
          </w:p>
        </w:tc>
        <w:tc>
          <w:tcPr>
            <w:tcW w:w="1185" w:type="dxa"/>
            <w:tcBorders>
              <w:bottom w:val="single" w:sz="4" w:space="0" w:color="000000"/>
              <w:right w:val="single" w:sz="4" w:space="0" w:color="000000"/>
            </w:tcBorders>
            <w:shd w:color="auto" w:fill="auto" w:val="clear"/>
          </w:tcPr>
          <w:p>
            <w:pPr>
              <w:pStyle w:val="Normal"/>
              <w:widowControl w:val="false"/>
              <w:jc w:val="right"/>
              <w:rPr>
                <w:rFonts w:ascii="Calibri" w:hAnsi="Calibri" w:cs="Calibri"/>
                <w:sz w:val="20"/>
                <w:szCs w:val="20"/>
              </w:rPr>
            </w:pPr>
            <w:r>
              <w:rPr>
                <w:rFonts w:cs="Calibri" w:ascii="Calibri" w:hAnsi="Calibri"/>
                <w:sz w:val="20"/>
                <w:szCs w:val="20"/>
              </w:rPr>
            </w:r>
          </w:p>
        </w:tc>
      </w:tr>
      <w:tr>
        <w:trPr>
          <w:trHeight w:val="255" w:hRule="atLeast"/>
        </w:trPr>
        <w:tc>
          <w:tcPr>
            <w:tcW w:w="6033" w:type="dxa"/>
            <w:gridSpan w:val="2"/>
            <w:tcBorders>
              <w:top w:val="single" w:sz="4" w:space="0" w:color="000000"/>
              <w:left w:val="single" w:sz="4" w:space="0" w:color="000000"/>
              <w:bottom w:val="single" w:sz="4" w:space="0" w:color="000000"/>
            </w:tcBorders>
            <w:shd w:color="000000" w:fill="D9D9D9" w:val="clear"/>
            <w:vAlign w:val="bottom"/>
          </w:tcPr>
          <w:p>
            <w:pPr>
              <w:pStyle w:val="Normal"/>
              <w:widowControl w:val="false"/>
              <w:jc w:val="center"/>
              <w:rPr>
                <w:rFonts w:ascii="Calibri" w:hAnsi="Calibri" w:cs="Calibri"/>
                <w:b/>
                <w:b/>
                <w:bCs/>
                <w:sz w:val="20"/>
                <w:szCs w:val="20"/>
              </w:rPr>
            </w:pPr>
            <w:r>
              <w:rPr>
                <w:rFonts w:cs="Calibri" w:ascii="Calibri" w:hAnsi="Calibri"/>
                <w:b/>
                <w:bCs/>
                <w:sz w:val="20"/>
                <w:szCs w:val="20"/>
              </w:rPr>
              <w:t>TOTAL</w:t>
            </w:r>
          </w:p>
        </w:tc>
        <w:tc>
          <w:tcPr>
            <w:tcW w:w="1294" w:type="dxa"/>
            <w:tcBorders>
              <w:left w:val="single" w:sz="4" w:space="0" w:color="000000"/>
              <w:bottom w:val="single" w:sz="4" w:space="0" w:color="000000"/>
              <w:right w:val="single" w:sz="4" w:space="0" w:color="000000"/>
            </w:tcBorders>
            <w:shd w:color="000000" w:fill="D9D9D9" w:val="clear"/>
            <w:vAlign w:val="bottom"/>
          </w:tcPr>
          <w:p>
            <w:pPr>
              <w:pStyle w:val="Normal"/>
              <w:widowControl w:val="false"/>
              <w:jc w:val="right"/>
              <w:rPr>
                <w:rFonts w:ascii="Calibri" w:hAnsi="Calibri" w:cs="Calibri"/>
                <w:b/>
                <w:b/>
                <w:bCs/>
                <w:sz w:val="20"/>
                <w:szCs w:val="20"/>
              </w:rPr>
            </w:pPr>
            <w:r>
              <w:rPr>
                <w:rFonts w:cs="Calibri" w:ascii="Calibri" w:hAnsi="Calibri"/>
                <w:b/>
                <w:bCs/>
                <w:sz w:val="20"/>
                <w:szCs w:val="20"/>
              </w:rPr>
              <w:t xml:space="preserve"> </w:t>
            </w:r>
          </w:p>
        </w:tc>
        <w:tc>
          <w:tcPr>
            <w:tcW w:w="1185" w:type="dxa"/>
            <w:tcBorders>
              <w:bottom w:val="single" w:sz="4" w:space="0" w:color="000000"/>
              <w:right w:val="single" w:sz="4" w:space="0" w:color="000000"/>
            </w:tcBorders>
            <w:shd w:color="000000" w:fill="D9D9D9" w:val="clear"/>
            <w:vAlign w:val="bottom"/>
          </w:tcPr>
          <w:p>
            <w:pPr>
              <w:pStyle w:val="Normal"/>
              <w:widowControl w:val="false"/>
              <w:jc w:val="right"/>
              <w:rPr>
                <w:rFonts w:ascii="Calibri" w:hAnsi="Calibri" w:cs="Calibri"/>
                <w:b/>
                <w:b/>
                <w:bCs/>
                <w:sz w:val="20"/>
                <w:szCs w:val="20"/>
              </w:rPr>
            </w:pPr>
            <w:r>
              <w:rPr>
                <w:rFonts w:cs="Calibri" w:ascii="Calibri" w:hAnsi="Calibri"/>
                <w:b/>
                <w:bCs/>
                <w:sz w:val="20"/>
                <w:szCs w:val="20"/>
              </w:rPr>
              <w:t xml:space="preserve"> </w:t>
            </w:r>
          </w:p>
        </w:tc>
      </w:tr>
    </w:tbl>
    <w:p>
      <w:pPr>
        <w:pStyle w:val="PlainText"/>
        <w:ind w:firstLine="360"/>
        <w:jc w:val="both"/>
        <w:rPr>
          <w:rFonts w:ascii="Calibri" w:hAnsi="Calibri" w:cs="Calibri"/>
          <w:sz w:val="22"/>
          <w:szCs w:val="22"/>
        </w:rPr>
      </w:pPr>
      <w:r>
        <w:rPr>
          <w:rFonts w:cs="Calibri" w:ascii="Calibri" w:hAnsi="Calibri"/>
          <w:sz w:val="22"/>
          <w:szCs w:val="22"/>
        </w:rPr>
        <w:t xml:space="preserve">De l'esmentada liquidació es dedueix el següent </w:t>
      </w:r>
      <w:r>
        <w:rPr>
          <w:rFonts w:cs="Calibri" w:ascii="Calibri" w:hAnsi="Calibri"/>
          <w:sz w:val="22"/>
          <w:szCs w:val="22"/>
          <w:u w:val="single"/>
        </w:rPr>
        <w:t>Romanent de Tresoreria</w:t>
      </w:r>
      <w:r>
        <w:rPr>
          <w:rFonts w:cs="Calibri" w:ascii="Calibri" w:hAnsi="Calibri"/>
          <w:sz w:val="22"/>
          <w:szCs w:val="22"/>
        </w:rPr>
        <w:t>:</w:t>
      </w:r>
    </w:p>
    <w:p>
      <w:pPr>
        <w:pStyle w:val="PlainText"/>
        <w:rPr>
          <w:rFonts w:ascii="Calibri" w:hAnsi="Calibri" w:cs="Calibri"/>
          <w:sz w:val="22"/>
          <w:szCs w:val="22"/>
        </w:rPr>
      </w:pPr>
      <w:r>
        <w:rPr>
          <w:rFonts w:cs="Calibri" w:ascii="Calibri" w:hAnsi="Calibri"/>
          <w:sz w:val="22"/>
          <w:szCs w:val="22"/>
        </w:rPr>
      </w:r>
    </w:p>
    <w:tbl>
      <w:tblPr>
        <w:tblW w:w="9069" w:type="dxa"/>
        <w:jc w:val="left"/>
        <w:tblInd w:w="534" w:type="dxa"/>
        <w:tblLayout w:type="fixed"/>
        <w:tblCellMar>
          <w:top w:w="0" w:type="dxa"/>
          <w:left w:w="108" w:type="dxa"/>
          <w:bottom w:w="0" w:type="dxa"/>
          <w:right w:w="108" w:type="dxa"/>
        </w:tblCellMar>
        <w:tblLook w:firstRow="1" w:noVBand="1" w:lastRow="0" w:firstColumn="1" w:lastColumn="0" w:noHBand="0" w:val="04a0"/>
      </w:tblPr>
      <w:tblGrid>
        <w:gridCol w:w="546"/>
        <w:gridCol w:w="4235"/>
        <w:gridCol w:w="2176"/>
        <w:gridCol w:w="2111"/>
      </w:tblGrid>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1.</w:t>
            </w:r>
          </w:p>
        </w:tc>
        <w:tc>
          <w:tcPr>
            <w:tcW w:w="6411" w:type="dxa"/>
            <w:gridSpan w:val="2"/>
            <w:tcBorders/>
            <w:shd w:color="auto" w:fill="auto" w:val="clear"/>
          </w:tcPr>
          <w:p>
            <w:pPr>
              <w:pStyle w:val="PlainText"/>
              <w:widowControl w:val="false"/>
              <w:rPr>
                <w:rFonts w:ascii="Calibri" w:hAnsi="Calibri" w:cs="Calibri"/>
                <w:sz w:val="22"/>
                <w:szCs w:val="22"/>
              </w:rPr>
            </w:pPr>
            <w:r>
              <w:rPr>
                <w:rFonts w:cs="Calibri" w:ascii="Calibri" w:hAnsi="Calibri"/>
                <w:sz w:val="22"/>
                <w:szCs w:val="22"/>
              </w:rPr>
              <w:t>(+) DEUTORS PENDENTS DE COBRAMENT A FI D’EXERCICI</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2.646.509,39</w:t>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Del Pressupost d’Ingressos. Ppt. Corrent</w:t>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723.742,14</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Del Pressupost d’Ingressos. Ppt. Tancat</w:t>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1.633.595,84</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D’altres operacions no pressupostàries</w:t>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289.171,41</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2.</w:t>
            </w:r>
          </w:p>
        </w:tc>
        <w:tc>
          <w:tcPr>
            <w:tcW w:w="6411" w:type="dxa"/>
            <w:gridSpan w:val="2"/>
            <w:tcBorders/>
            <w:shd w:color="auto" w:fill="auto" w:val="clear"/>
          </w:tcPr>
          <w:p>
            <w:pPr>
              <w:pStyle w:val="PlainText"/>
              <w:widowControl w:val="false"/>
              <w:rPr>
                <w:rFonts w:ascii="Calibri" w:hAnsi="Calibri" w:cs="Calibri"/>
                <w:sz w:val="22"/>
                <w:szCs w:val="22"/>
              </w:rPr>
            </w:pPr>
            <w:r>
              <w:rPr>
                <w:rFonts w:cs="Calibri" w:ascii="Calibri" w:hAnsi="Calibri"/>
                <w:sz w:val="22"/>
                <w:szCs w:val="22"/>
              </w:rPr>
              <w:t>(-) CREDITORS PENDENTS DE PAGAMENT A FI D’EXERCICI</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475.906,98</w:t>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Del Pressupost de Despeses. Ppt. Corrent</w:t>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414.672,18</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Del Pressupost de Despeses. Ppt. Tancat</w:t>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2.143,58</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D’altres operacions no pressupostàries</w:t>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59.091,22</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3.</w:t>
            </w:r>
          </w:p>
        </w:tc>
        <w:tc>
          <w:tcPr>
            <w:tcW w:w="6411" w:type="dxa"/>
            <w:gridSpan w:val="2"/>
            <w:tcBorders/>
            <w:shd w:color="auto" w:fill="auto" w:val="clear"/>
          </w:tcPr>
          <w:p>
            <w:pPr>
              <w:pStyle w:val="PlainText"/>
              <w:widowControl w:val="false"/>
              <w:rPr>
                <w:rFonts w:ascii="Calibri" w:hAnsi="Calibri" w:cs="Calibri"/>
                <w:sz w:val="22"/>
                <w:szCs w:val="22"/>
              </w:rPr>
            </w:pPr>
            <w:r>
              <w:rPr>
                <w:rFonts w:cs="Calibri" w:ascii="Calibri" w:hAnsi="Calibri"/>
                <w:sz w:val="22"/>
                <w:szCs w:val="22"/>
              </w:rPr>
              <w:t>(+) FONS LÍQUIDS EN LA TRESORERIA A FI D’EXERCICI</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109.759,38</w:t>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6411" w:type="dxa"/>
            <w:gridSpan w:val="2"/>
            <w:tcBorders/>
            <w:shd w:color="auto" w:fill="auto" w:val="clear"/>
          </w:tcPr>
          <w:p>
            <w:pPr>
              <w:pStyle w:val="PlainText"/>
              <w:widowControl w:val="false"/>
              <w:rPr>
                <w:rFonts w:ascii="Calibri" w:hAnsi="Calibri" w:cs="Calibri"/>
                <w:sz w:val="22"/>
                <w:szCs w:val="22"/>
              </w:rPr>
            </w:pPr>
            <w:r>
              <w:rPr>
                <w:rFonts w:cs="Calibri" w:ascii="Calibri" w:hAnsi="Calibri"/>
                <w:sz w:val="22"/>
                <w:szCs w:val="22"/>
              </w:rPr>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4.</w:t>
            </w:r>
          </w:p>
        </w:tc>
        <w:tc>
          <w:tcPr>
            <w:tcW w:w="6411" w:type="dxa"/>
            <w:gridSpan w:val="2"/>
            <w:tcBorders/>
            <w:shd w:color="auto" w:fill="auto" w:val="clear"/>
          </w:tcPr>
          <w:p>
            <w:pPr>
              <w:pStyle w:val="PlainText"/>
              <w:widowControl w:val="false"/>
              <w:rPr>
                <w:rFonts w:ascii="Calibri" w:hAnsi="Calibri" w:cs="Calibri"/>
                <w:sz w:val="22"/>
                <w:szCs w:val="22"/>
              </w:rPr>
            </w:pPr>
            <w:r>
              <w:rPr>
                <w:rFonts w:cs="Calibri" w:ascii="Calibri" w:hAnsi="Calibri"/>
                <w:sz w:val="22"/>
                <w:szCs w:val="22"/>
              </w:rPr>
              <w:t>(+) PARTIDES PENDENTS D’APLICACIÓ</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105.731,65</w:t>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6411" w:type="dxa"/>
            <w:gridSpan w:val="2"/>
            <w:tcBorders/>
            <w:shd w:color="auto" w:fill="auto" w:val="clear"/>
          </w:tcPr>
          <w:p>
            <w:pPr>
              <w:pStyle w:val="PlainText"/>
              <w:widowControl w:val="false"/>
              <w:rPr>
                <w:rFonts w:ascii="Calibri" w:hAnsi="Calibri" w:cs="Calibri"/>
                <w:sz w:val="22"/>
                <w:szCs w:val="22"/>
              </w:rPr>
            </w:pPr>
            <w:r>
              <w:rPr>
                <w:rFonts w:cs="Calibri" w:ascii="Calibri" w:hAnsi="Calibri"/>
                <w:sz w:val="22"/>
                <w:szCs w:val="22"/>
              </w:rPr>
              <w:t>MENYS = Ingressos pendents aplic. Def                                              0,00</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MÉS=Pagament pendents aplic. Def.</w:t>
            </w:r>
          </w:p>
        </w:tc>
        <w:tc>
          <w:tcPr>
            <w:tcW w:w="2176" w:type="dxa"/>
            <w:tcBorders/>
            <w:shd w:color="auto" w:fill="auto" w:val="clear"/>
          </w:tcPr>
          <w:p>
            <w:pPr>
              <w:pStyle w:val="PlainText"/>
              <w:widowControl w:val="false"/>
              <w:jc w:val="center"/>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105.731,65</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r>
          </w:p>
        </w:tc>
        <w:tc>
          <w:tcPr>
            <w:tcW w:w="6411" w:type="dxa"/>
            <w:gridSpan w:val="2"/>
            <w:tcBorders/>
            <w:shd w:color="auto" w:fill="auto" w:val="clear"/>
          </w:tcPr>
          <w:p>
            <w:pPr>
              <w:pStyle w:val="PlainText"/>
              <w:widowControl w:val="false"/>
              <w:rPr>
                <w:rFonts w:ascii="Calibri" w:hAnsi="Calibri" w:cs="Calibri"/>
                <w:b/>
                <w:b/>
                <w:sz w:val="22"/>
                <w:szCs w:val="22"/>
              </w:rPr>
            </w:pPr>
            <w:r>
              <w:rPr>
                <w:rFonts w:cs="Calibri" w:ascii="Calibri" w:hAnsi="Calibri"/>
                <w:b/>
                <w:sz w:val="22"/>
                <w:szCs w:val="22"/>
              </w:rPr>
            </w:r>
          </w:p>
        </w:tc>
        <w:tc>
          <w:tcPr>
            <w:tcW w:w="2111" w:type="dxa"/>
            <w:tcBorders/>
            <w:shd w:color="auto" w:fill="auto" w:val="clear"/>
          </w:tcPr>
          <w:p>
            <w:pPr>
              <w:pStyle w:val="PlainText"/>
              <w:widowControl w:val="false"/>
              <w:jc w:val="right"/>
              <w:rPr>
                <w:rFonts w:ascii="Calibri" w:hAnsi="Calibri" w:cs="Calibri"/>
                <w:b/>
                <w:b/>
                <w:sz w:val="22"/>
                <w:szCs w:val="22"/>
              </w:rPr>
            </w:pPr>
            <w:r>
              <w:rPr>
                <w:rFonts w:cs="Calibri" w:ascii="Calibri" w:hAnsi="Calibri"/>
                <w:b/>
                <w:sz w:val="22"/>
                <w:szCs w:val="22"/>
              </w:rPr>
            </w:r>
          </w:p>
        </w:tc>
      </w:tr>
      <w:tr>
        <w:trPr/>
        <w:tc>
          <w:tcPr>
            <w:tcW w:w="54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r>
          </w:p>
        </w:tc>
        <w:tc>
          <w:tcPr>
            <w:tcW w:w="6411" w:type="dxa"/>
            <w:gridSpan w:val="2"/>
            <w:tcBorders/>
            <w:shd w:color="auto" w:fill="auto" w:val="clear"/>
          </w:tcPr>
          <w:p>
            <w:pPr>
              <w:pStyle w:val="PlainText"/>
              <w:widowControl w:val="false"/>
              <w:rPr>
                <w:rFonts w:ascii="Calibri" w:hAnsi="Calibri" w:cs="Calibri"/>
                <w:b/>
                <w:b/>
                <w:sz w:val="22"/>
                <w:szCs w:val="22"/>
              </w:rPr>
            </w:pPr>
            <w:r>
              <w:rPr>
                <w:rFonts w:cs="Calibri" w:ascii="Calibri" w:hAnsi="Calibri"/>
                <w:b/>
                <w:sz w:val="22"/>
                <w:szCs w:val="22"/>
              </w:rPr>
              <w:t>ROMANENT DE TRESORERIA TOTAL</w:t>
            </w:r>
          </w:p>
        </w:tc>
        <w:tc>
          <w:tcPr>
            <w:tcW w:w="2111" w:type="dxa"/>
            <w:tcBorders/>
            <w:shd w:color="auto" w:fill="auto" w:val="clear"/>
          </w:tcPr>
          <w:p>
            <w:pPr>
              <w:pStyle w:val="PlainText"/>
              <w:widowControl w:val="false"/>
              <w:jc w:val="right"/>
              <w:rPr>
                <w:rFonts w:ascii="Calibri" w:hAnsi="Calibri" w:cs="Calibri"/>
                <w:b/>
                <w:b/>
                <w:sz w:val="22"/>
                <w:szCs w:val="22"/>
              </w:rPr>
            </w:pPr>
            <w:r>
              <w:rPr>
                <w:rFonts w:cs="Calibri" w:ascii="Calibri" w:hAnsi="Calibri"/>
                <w:b/>
                <w:sz w:val="22"/>
                <w:szCs w:val="22"/>
              </w:rPr>
              <w:t>2.386.093,44</w:t>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4.</w:t>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SALDOS DE DUBTÓS COBRAMENT</w:t>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1.165.062,69</w:t>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5.</w:t>
            </w:r>
          </w:p>
        </w:tc>
        <w:tc>
          <w:tcPr>
            <w:tcW w:w="6411" w:type="dxa"/>
            <w:gridSpan w:val="2"/>
            <w:tcBorders/>
            <w:shd w:color="auto" w:fill="auto" w:val="clear"/>
          </w:tcPr>
          <w:p>
            <w:pPr>
              <w:pStyle w:val="PlainText"/>
              <w:widowControl w:val="false"/>
              <w:rPr>
                <w:rFonts w:ascii="Calibri" w:hAnsi="Calibri" w:cs="Calibri"/>
                <w:sz w:val="22"/>
                <w:szCs w:val="22"/>
              </w:rPr>
            </w:pPr>
            <w:r>
              <w:rPr>
                <w:rFonts w:cs="Calibri" w:ascii="Calibri" w:hAnsi="Calibri"/>
                <w:sz w:val="22"/>
                <w:szCs w:val="22"/>
              </w:rPr>
              <w:t>ROMANENT TRESORERIA AFECTAT A DESPESES AMB FINANÇ. AFECTAT</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p>
            <w:pPr>
              <w:pStyle w:val="PlainText"/>
              <w:widowControl w:val="false"/>
              <w:jc w:val="right"/>
              <w:rPr>
                <w:rFonts w:ascii="Calibri" w:hAnsi="Calibri" w:cs="Calibri"/>
                <w:sz w:val="22"/>
                <w:szCs w:val="22"/>
              </w:rPr>
            </w:pPr>
            <w:r>
              <w:rPr>
                <w:rFonts w:cs="Calibri" w:ascii="Calibri" w:hAnsi="Calibri"/>
                <w:sz w:val="22"/>
                <w:szCs w:val="22"/>
              </w:rPr>
              <w:t>294.016,46</w:t>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r>
          </w:p>
        </w:tc>
        <w:tc>
          <w:tcPr>
            <w:tcW w:w="6411" w:type="dxa"/>
            <w:gridSpan w:val="2"/>
            <w:tcBorders/>
            <w:shd w:color="auto" w:fill="auto" w:val="clear"/>
          </w:tcPr>
          <w:p>
            <w:pPr>
              <w:pStyle w:val="PlainText"/>
              <w:widowControl w:val="false"/>
              <w:rPr>
                <w:rFonts w:ascii="Calibri" w:hAnsi="Calibri" w:cs="Calibri"/>
                <w:b/>
                <w:b/>
                <w:sz w:val="22"/>
                <w:szCs w:val="22"/>
              </w:rPr>
            </w:pPr>
            <w:r>
              <w:rPr>
                <w:rFonts w:cs="Calibri" w:ascii="Calibri" w:hAnsi="Calibri"/>
                <w:b/>
                <w:sz w:val="22"/>
                <w:szCs w:val="22"/>
              </w:rPr>
              <w:t>ROMANENT DE TRESORERIA PER A DESPESES GENERALS</w:t>
            </w:r>
          </w:p>
        </w:tc>
        <w:tc>
          <w:tcPr>
            <w:tcW w:w="2111" w:type="dxa"/>
            <w:tcBorders/>
            <w:shd w:color="auto" w:fill="auto" w:val="clear"/>
          </w:tcPr>
          <w:p>
            <w:pPr>
              <w:pStyle w:val="PlainText"/>
              <w:widowControl w:val="false"/>
              <w:jc w:val="right"/>
              <w:rPr>
                <w:rFonts w:ascii="Calibri" w:hAnsi="Calibri" w:cs="Calibri"/>
                <w:b/>
                <w:b/>
                <w:sz w:val="22"/>
                <w:szCs w:val="22"/>
              </w:rPr>
            </w:pPr>
            <w:r>
              <w:rPr>
                <w:rFonts w:cs="Calibri" w:ascii="Calibri" w:hAnsi="Calibri"/>
                <w:b/>
                <w:sz w:val="22"/>
                <w:szCs w:val="22"/>
              </w:rPr>
              <w:t>927.014,29</w:t>
            </w:r>
            <w:bookmarkStart w:id="1" w:name="_Hlk63663723"/>
            <w:bookmarkEnd w:id="1"/>
          </w:p>
        </w:tc>
      </w:tr>
    </w:tbl>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ind w:firstLine="708"/>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jc w:val="both"/>
        <w:rPr>
          <w:rFonts w:ascii="Calibri" w:hAnsi="Calibri" w:cs="Calibri" w:asciiTheme="minorHAnsi" w:hAnsiTheme="minorHAnsi"/>
          <w:sz w:val="22"/>
          <w:szCs w:val="22"/>
        </w:rPr>
      </w:pPr>
      <w:r>
        <w:rPr>
          <w:rFonts w:cs="Calibri" w:ascii="Calibri" w:hAnsi="Calibri" w:asciiTheme="minorHAnsi" w:hAnsiTheme="minorHAnsi"/>
          <w:b/>
          <w:sz w:val="22"/>
          <w:szCs w:val="22"/>
        </w:rPr>
        <w:t xml:space="preserve">              </w:t>
      </w:r>
      <w:r>
        <w:rPr>
          <w:rFonts w:cs="Calibri" w:ascii="Calibri" w:hAnsi="Calibri" w:asciiTheme="minorHAnsi" w:hAnsiTheme="minorHAnsi"/>
          <w:sz w:val="22"/>
          <w:szCs w:val="22"/>
        </w:rPr>
        <w:t>L’article 193 Bis del R.D.L. 2/2004 de 5 de Març, pel que s’aprova el text refós de la Llei reguladora de les Hisendes Locals,  segons la redacció donada per la Llei 27/2013 de 27 de desembre, de racionalització i sostenibilitat de l’Administració Local, estableix els percentatge mínims per aplicar la dotació de saldos de dubtós cobrament. Aplicant els percentatges, seguint aquest criteri, el detall d’aquesta dotació, resumida per exercicis, és el següent:</w:t>
      </w:r>
    </w:p>
    <w:p>
      <w:pPr>
        <w:pStyle w:val="PlainText"/>
        <w:jc w:val="both"/>
        <w:rPr>
          <w:rFonts w:ascii="Calibri" w:hAnsi="Calibri" w:cs="Calibri" w:asciiTheme="minorHAnsi" w:hAnsiTheme="minorHAnsi"/>
          <w:sz w:val="22"/>
          <w:szCs w:val="22"/>
        </w:rPr>
      </w:pPr>
      <w:r>
        <w:rPr>
          <w:rFonts w:cs="Calibri" w:ascii="Calibri" w:hAnsi="Calibri"/>
          <w:sz w:val="22"/>
          <w:szCs w:val="22"/>
        </w:rPr>
      </w:r>
    </w:p>
    <w:tbl>
      <w:tblPr>
        <w:tblW w:w="6360"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980"/>
        <w:gridCol w:w="2060"/>
        <w:gridCol w:w="1359"/>
        <w:gridCol w:w="1960"/>
      </w:tblGrid>
      <w:tr>
        <w:trPr>
          <w:trHeight w:val="600" w:hRule="atLeast"/>
        </w:trPr>
        <w:tc>
          <w:tcPr>
            <w:tcW w:w="980" w:type="dxa"/>
            <w:tcBorders/>
            <w:shd w:color="auto" w:fill="auto" w:val="clear"/>
            <w:vAlign w:val="bottom"/>
          </w:tcPr>
          <w:p>
            <w:pPr>
              <w:pStyle w:val="Normal"/>
              <w:widowControl w:val="false"/>
              <w:jc w:val="center"/>
              <w:rPr>
                <w:rFonts w:ascii="Calibri" w:hAnsi="Calibri" w:cs="Calibri"/>
                <w:b/>
                <w:b/>
                <w:bCs/>
                <w:color w:val="000000"/>
                <w:sz w:val="22"/>
                <w:szCs w:val="22"/>
              </w:rPr>
            </w:pPr>
            <w:bookmarkStart w:id="2" w:name="RANGE!A1%3AD20"/>
            <w:r>
              <w:rPr>
                <w:rFonts w:cs="Calibri" w:ascii="Calibri" w:hAnsi="Calibri"/>
                <w:b/>
                <w:bCs/>
                <w:color w:val="000000"/>
                <w:sz w:val="22"/>
                <w:szCs w:val="22"/>
              </w:rPr>
              <w:t>Exerc.</w:t>
            </w:r>
            <w:bookmarkEnd w:id="2"/>
          </w:p>
        </w:tc>
        <w:tc>
          <w:tcPr>
            <w:tcW w:w="2060" w:type="dxa"/>
            <w:tcBorders/>
            <w:shd w:color="auto" w:fill="auto" w:val="clear"/>
            <w:vAlign w:val="bottom"/>
          </w:tcPr>
          <w:p>
            <w:pPr>
              <w:pStyle w:val="Normal"/>
              <w:widowControl w:val="false"/>
              <w:jc w:val="center"/>
              <w:rPr>
                <w:rFonts w:ascii="Calibri" w:hAnsi="Calibri" w:cs="Calibri"/>
                <w:b/>
                <w:b/>
                <w:bCs/>
                <w:color w:val="000000"/>
                <w:sz w:val="22"/>
                <w:szCs w:val="22"/>
              </w:rPr>
            </w:pPr>
            <w:r>
              <w:rPr>
                <w:rFonts w:cs="Calibri" w:ascii="Calibri" w:hAnsi="Calibri"/>
                <w:b/>
                <w:bCs/>
                <w:color w:val="000000"/>
                <w:sz w:val="22"/>
                <w:szCs w:val="22"/>
              </w:rPr>
              <w:t>Drets Pend. Cobrament</w:t>
            </w:r>
          </w:p>
        </w:tc>
        <w:tc>
          <w:tcPr>
            <w:tcW w:w="1359" w:type="dxa"/>
            <w:tcBorders/>
            <w:shd w:color="auto" w:fill="auto" w:val="clear"/>
            <w:vAlign w:val="bottom"/>
          </w:tcPr>
          <w:p>
            <w:pPr>
              <w:pStyle w:val="Normal"/>
              <w:widowControl w:val="false"/>
              <w:jc w:val="center"/>
              <w:rPr>
                <w:rFonts w:ascii="Calibri" w:hAnsi="Calibri" w:cs="Calibri"/>
                <w:b/>
                <w:b/>
                <w:bCs/>
                <w:color w:val="000000"/>
                <w:sz w:val="22"/>
                <w:szCs w:val="22"/>
              </w:rPr>
            </w:pPr>
            <w:r>
              <w:rPr>
                <w:rFonts w:cs="Calibri" w:ascii="Calibri" w:hAnsi="Calibri"/>
                <w:b/>
                <w:bCs/>
                <w:color w:val="000000"/>
                <w:sz w:val="22"/>
                <w:szCs w:val="22"/>
              </w:rPr>
              <w:t>% DOTACIÓ</w:t>
            </w:r>
          </w:p>
        </w:tc>
        <w:tc>
          <w:tcPr>
            <w:tcW w:w="1960" w:type="dxa"/>
            <w:tcBorders/>
            <w:shd w:color="auto" w:fill="auto" w:val="clear"/>
            <w:vAlign w:val="bottom"/>
          </w:tcPr>
          <w:p>
            <w:pPr>
              <w:pStyle w:val="Normal"/>
              <w:widowControl w:val="false"/>
              <w:jc w:val="center"/>
              <w:rPr>
                <w:rFonts w:ascii="Calibri" w:hAnsi="Calibri" w:cs="Calibri"/>
                <w:b/>
                <w:b/>
                <w:bCs/>
                <w:color w:val="000000"/>
                <w:sz w:val="22"/>
                <w:szCs w:val="22"/>
              </w:rPr>
            </w:pPr>
            <w:r>
              <w:rPr>
                <w:rFonts w:cs="Calibri" w:ascii="Calibri" w:hAnsi="Calibri"/>
                <w:b/>
                <w:bCs/>
                <w:color w:val="000000"/>
                <w:sz w:val="22"/>
                <w:szCs w:val="22"/>
              </w:rPr>
              <w:t>DOTACIÓ A 31/12/22</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1996</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330,56</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100</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330,56</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1997</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2.959,99</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100</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2.959,99</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2001</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2.376,13</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100</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2.376,13</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2002</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57.368,46</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100</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57.368,46</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2006</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68.536,65</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100</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68.536,65</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2009</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53.256,57</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100</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53.256,57</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2010</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6.180,12</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100</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6.180,12</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2011</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23.549,60</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100</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23.549,60</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2012</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96.172,33</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100</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96.172,33</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2013</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99.073,29</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100</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99.073,29</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2014</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168.219,13</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100</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168.219,13</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2015</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75.811,31</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100</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75.811,31</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2016</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172.597,13</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100</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172.597,13</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2017</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44.769,38</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75</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33.577,04</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2018</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21.312,12</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75</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15.984,09</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2019</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415.198,10</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50</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207.599,05</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2020</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51.777,55</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25</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12.944,39</w:t>
            </w:r>
          </w:p>
        </w:tc>
      </w:tr>
      <w:tr>
        <w:trPr>
          <w:trHeight w:val="255" w:hRule="atLeast"/>
        </w:trPr>
        <w:tc>
          <w:tcPr>
            <w:tcW w:w="980" w:type="dxa"/>
            <w:tcBorders/>
            <w:shd w:color="auto" w:fill="auto" w:val="clear"/>
            <w:vAlign w:val="bottom"/>
          </w:tcPr>
          <w:p>
            <w:pPr>
              <w:pStyle w:val="Normal"/>
              <w:widowControl w:val="false"/>
              <w:jc w:val="center"/>
              <w:rPr>
                <w:rFonts w:ascii="Arial" w:hAnsi="Arial" w:cs="Arial"/>
                <w:sz w:val="20"/>
                <w:szCs w:val="20"/>
              </w:rPr>
            </w:pPr>
            <w:r>
              <w:rPr>
                <w:rFonts w:cs="Arial" w:ascii="Arial" w:hAnsi="Arial"/>
                <w:sz w:val="20"/>
                <w:szCs w:val="20"/>
              </w:rPr>
              <w:t>2021</w:t>
            </w:r>
          </w:p>
        </w:tc>
        <w:tc>
          <w:tcPr>
            <w:tcW w:w="2060" w:type="dxa"/>
            <w:tcBorders/>
            <w:shd w:color="auto" w:fill="auto" w:val="clear"/>
            <w:vAlign w:val="bottom"/>
          </w:tcPr>
          <w:p>
            <w:pPr>
              <w:pStyle w:val="Normal"/>
              <w:widowControl w:val="false"/>
              <w:jc w:val="right"/>
              <w:rPr>
                <w:rFonts w:ascii="Arial" w:hAnsi="Arial" w:cs="Arial"/>
                <w:sz w:val="20"/>
                <w:szCs w:val="20"/>
              </w:rPr>
            </w:pPr>
            <w:r>
              <w:rPr>
                <w:rFonts w:cs="Arial" w:ascii="Arial" w:hAnsi="Arial"/>
                <w:sz w:val="20"/>
                <w:szCs w:val="20"/>
              </w:rPr>
              <w:t>274.107,42</w:t>
            </w:r>
          </w:p>
        </w:tc>
        <w:tc>
          <w:tcPr>
            <w:tcW w:w="1359"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25</w:t>
            </w:r>
          </w:p>
        </w:tc>
        <w:tc>
          <w:tcPr>
            <w:tcW w:w="196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t>68.526,86</w:t>
            </w:r>
          </w:p>
        </w:tc>
      </w:tr>
      <w:tr>
        <w:trPr>
          <w:trHeight w:val="300" w:hRule="atLeast"/>
        </w:trPr>
        <w:tc>
          <w:tcPr>
            <w:tcW w:w="980" w:type="dxa"/>
            <w:tcBorders/>
            <w:shd w:color="auto" w:fill="auto" w:val="clear"/>
            <w:vAlign w:val="bottom"/>
          </w:tcPr>
          <w:p>
            <w:pPr>
              <w:pStyle w:val="Normal"/>
              <w:widowControl w:val="false"/>
              <w:jc w:val="right"/>
              <w:rPr>
                <w:rFonts w:ascii="Calibri" w:hAnsi="Calibri" w:cs="Calibri"/>
                <w:color w:val="000000"/>
                <w:sz w:val="20"/>
                <w:szCs w:val="20"/>
              </w:rPr>
            </w:pPr>
            <w:r>
              <w:rPr>
                <w:rFonts w:cs="Calibri" w:ascii="Calibri" w:hAnsi="Calibri"/>
                <w:color w:val="000000"/>
                <w:sz w:val="20"/>
                <w:szCs w:val="20"/>
              </w:rPr>
            </w:r>
          </w:p>
        </w:tc>
        <w:tc>
          <w:tcPr>
            <w:tcW w:w="2060" w:type="dxa"/>
            <w:tcBorders/>
            <w:shd w:color="auto" w:fill="auto" w:val="clear"/>
            <w:vAlign w:val="bottom"/>
          </w:tcPr>
          <w:p>
            <w:pPr>
              <w:pStyle w:val="Normal"/>
              <w:widowControl w:val="false"/>
              <w:jc w:val="right"/>
              <w:rPr>
                <w:rFonts w:ascii="Calibri" w:hAnsi="Calibri" w:cs="Calibri"/>
                <w:b/>
                <w:b/>
                <w:bCs/>
                <w:color w:val="000000"/>
                <w:sz w:val="22"/>
                <w:szCs w:val="22"/>
              </w:rPr>
            </w:pPr>
            <w:r>
              <w:rPr>
                <w:rFonts w:cs="Calibri" w:ascii="Calibri" w:hAnsi="Calibri"/>
                <w:b/>
                <w:bCs/>
                <w:color w:val="000000"/>
                <w:sz w:val="22"/>
                <w:szCs w:val="22"/>
              </w:rPr>
              <w:t>1.633.595,84</w:t>
            </w:r>
          </w:p>
        </w:tc>
        <w:tc>
          <w:tcPr>
            <w:tcW w:w="1359" w:type="dxa"/>
            <w:tcBorders/>
            <w:shd w:color="auto" w:fill="auto" w:val="clear"/>
            <w:vAlign w:val="bottom"/>
          </w:tcPr>
          <w:p>
            <w:pPr>
              <w:pStyle w:val="Normal"/>
              <w:widowControl w:val="false"/>
              <w:jc w:val="right"/>
              <w:rPr>
                <w:rFonts w:ascii="Calibri" w:hAnsi="Calibri" w:cs="Calibri"/>
                <w:b/>
                <w:b/>
                <w:bCs/>
                <w:color w:val="000000"/>
                <w:sz w:val="22"/>
                <w:szCs w:val="22"/>
              </w:rPr>
            </w:pPr>
            <w:r>
              <w:rPr>
                <w:rFonts w:cs="Calibri" w:ascii="Calibri" w:hAnsi="Calibri"/>
                <w:b/>
                <w:bCs/>
                <w:color w:val="000000"/>
                <w:sz w:val="22"/>
                <w:szCs w:val="22"/>
              </w:rPr>
            </w:r>
          </w:p>
        </w:tc>
        <w:tc>
          <w:tcPr>
            <w:tcW w:w="1960" w:type="dxa"/>
            <w:tcBorders/>
            <w:shd w:color="auto" w:fill="auto" w:val="clear"/>
            <w:vAlign w:val="bottom"/>
          </w:tcPr>
          <w:p>
            <w:pPr>
              <w:pStyle w:val="Normal"/>
              <w:widowControl w:val="false"/>
              <w:jc w:val="right"/>
              <w:rPr>
                <w:rFonts w:ascii="Calibri" w:hAnsi="Calibri" w:cs="Calibri"/>
                <w:b/>
                <w:b/>
                <w:bCs/>
                <w:color w:val="000000"/>
                <w:sz w:val="22"/>
                <w:szCs w:val="22"/>
              </w:rPr>
            </w:pPr>
            <w:r>
              <w:rPr>
                <w:rFonts w:cs="Calibri" w:ascii="Calibri" w:hAnsi="Calibri"/>
                <w:b/>
                <w:bCs/>
                <w:color w:val="000000"/>
                <w:sz w:val="22"/>
                <w:szCs w:val="22"/>
              </w:rPr>
              <w:t>1.165.062,69</w:t>
            </w:r>
          </w:p>
        </w:tc>
      </w:tr>
    </w:tbl>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ab/>
        <w:t>Conseqüentment, la liquidació del Pressupost dona un resultat de 1.221.030,75 Euros, descomptats els saldos de dubtós cobrament, dels quals la quantitat de 294.016,46,- esta afectada per despeses amb finançament afectat.</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rPr>
      </w:pPr>
      <w:r>
        <w:rPr>
          <w:rFonts w:cs="Calibri" w:ascii="Calibri" w:hAnsi="Calibri"/>
          <w:sz w:val="22"/>
          <w:szCs w:val="22"/>
        </w:rPr>
        <w:t xml:space="preserve">Després de la comprovació de que existeixen suficients recursos financers i de l’elaboració d’un estat comprensiu de les operacions de la Liquidació del Pressupost que poden incorporar-se al pressupost immediat següent i que ascendeix a la quantitat total de </w:t>
      </w:r>
      <w:r>
        <w:rPr>
          <w:rFonts w:cs="Calibri" w:ascii="Calibri" w:hAnsi="Calibri"/>
          <w:b/>
          <w:sz w:val="22"/>
          <w:szCs w:val="22"/>
          <w:u w:val="single"/>
        </w:rPr>
        <w:t>707.646,81,- euros</w:t>
      </w:r>
      <w:r>
        <w:rPr>
          <w:rFonts w:cs="Calibri" w:ascii="Calibri" w:hAnsi="Calibri"/>
          <w:sz w:val="22"/>
          <w:szCs w:val="22"/>
        </w:rPr>
        <w:t>, cal especificar que el seu finançament queda distribuït de la següent manera:</w:t>
      </w:r>
    </w:p>
    <w:p>
      <w:pPr>
        <w:pStyle w:val="PlainText"/>
        <w:ind w:left="708" w:hanging="0"/>
        <w:jc w:val="both"/>
        <w:rPr>
          <w:rFonts w:ascii="Calibri" w:hAnsi="Calibri" w:cs="Calibri"/>
          <w:sz w:val="22"/>
          <w:szCs w:val="22"/>
        </w:rPr>
      </w:pPr>
      <w:r>
        <w:rPr>
          <w:rFonts w:cs="Calibri" w:ascii="Calibri" w:hAnsi="Calibri"/>
          <w:sz w:val="22"/>
          <w:szCs w:val="22"/>
        </w:rPr>
      </w:r>
    </w:p>
    <w:p>
      <w:pPr>
        <w:pStyle w:val="PlainText"/>
        <w:numPr>
          <w:ilvl w:val="0"/>
          <w:numId w:val="1"/>
        </w:numPr>
        <w:jc w:val="both"/>
        <w:rPr>
          <w:rFonts w:ascii="Calibri" w:hAnsi="Calibri" w:cs="Calibri"/>
          <w:sz w:val="22"/>
          <w:szCs w:val="22"/>
        </w:rPr>
      </w:pPr>
      <w:r>
        <w:rPr>
          <w:rFonts w:cs="Calibri" w:ascii="Calibri" w:hAnsi="Calibri"/>
          <w:sz w:val="22"/>
          <w:szCs w:val="22"/>
        </w:rPr>
        <w:t>Romanent de tresoreria afectat a despeses amb finançament afectat : 230.286,67 ,- euros (per romanent afectat a despeses que tenen un finançament aliè específic).</w:t>
      </w:r>
    </w:p>
    <w:p>
      <w:pPr>
        <w:pStyle w:val="PlainText"/>
        <w:numPr>
          <w:ilvl w:val="0"/>
          <w:numId w:val="1"/>
        </w:numPr>
        <w:jc w:val="both"/>
        <w:rPr>
          <w:rFonts w:ascii="Calibri" w:hAnsi="Calibri" w:cs="Calibri"/>
          <w:sz w:val="22"/>
          <w:szCs w:val="22"/>
        </w:rPr>
      </w:pPr>
      <w:r>
        <w:rPr>
          <w:rFonts w:cs="Calibri" w:ascii="Calibri" w:hAnsi="Calibri"/>
          <w:sz w:val="22"/>
          <w:szCs w:val="22"/>
        </w:rPr>
        <w:t>A càrrec del Romanent de tresoreria per despeses generals: 144.360,14 ,- euros (per les despeses incorporades finançades amb aportació municipal).</w:t>
      </w:r>
    </w:p>
    <w:p>
      <w:pPr>
        <w:pStyle w:val="PlainText"/>
        <w:numPr>
          <w:ilvl w:val="0"/>
          <w:numId w:val="1"/>
        </w:numPr>
        <w:jc w:val="both"/>
        <w:rPr>
          <w:rFonts w:ascii="Calibri" w:hAnsi="Calibri" w:cs="Calibri"/>
          <w:sz w:val="22"/>
          <w:szCs w:val="22"/>
        </w:rPr>
      </w:pPr>
      <w:r>
        <w:rPr>
          <w:rFonts w:cs="Calibri" w:ascii="Calibri" w:hAnsi="Calibri"/>
          <w:sz w:val="22"/>
          <w:szCs w:val="22"/>
        </w:rPr>
        <w:t xml:space="preserve">A càrrec de compromisos ferms d’aportacions afectats a determinats romanents: 333.000,00 ,- euros.  </w:t>
      </w:r>
    </w:p>
    <w:p>
      <w:pPr>
        <w:pStyle w:val="PlainText"/>
        <w:ind w:left="708" w:hanging="0"/>
        <w:jc w:val="both"/>
        <w:rPr>
          <w:rFonts w:ascii="Calibri" w:hAnsi="Calibri" w:cs="Calibri"/>
          <w:sz w:val="22"/>
          <w:szCs w:val="22"/>
          <w:highlight w:val="yellow"/>
        </w:rPr>
      </w:pPr>
      <w:r>
        <w:rPr>
          <w:rFonts w:cs="Calibri" w:ascii="Calibri" w:hAnsi="Calibri"/>
          <w:sz w:val="22"/>
          <w:szCs w:val="22"/>
          <w:highlight w:val="yellow"/>
        </w:rPr>
      </w:r>
    </w:p>
    <w:p>
      <w:pPr>
        <w:pStyle w:val="PlainText"/>
        <w:ind w:left="708" w:hanging="0"/>
        <w:jc w:val="both"/>
        <w:rPr>
          <w:rFonts w:ascii="Calibri" w:hAnsi="Calibri" w:cs="Calibri"/>
          <w:sz w:val="22"/>
          <w:szCs w:val="22"/>
          <w:highlight w:val="yellow"/>
        </w:rPr>
      </w:pPr>
      <w:r>
        <w:rPr>
          <w:rFonts w:cs="Calibri" w:ascii="Calibri" w:hAnsi="Calibri"/>
          <w:sz w:val="22"/>
          <w:szCs w:val="22"/>
          <w:highlight w:val="yellow"/>
        </w:rPr>
      </w:r>
    </w:p>
    <w:p>
      <w:pPr>
        <w:pStyle w:val="PlainText"/>
        <w:ind w:firstLine="708"/>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El detall de les incorporacions al pressupost immediat següent i el desglossament del seu finançament és el següent: </w:t>
      </w:r>
    </w:p>
    <w:p>
      <w:pPr>
        <w:pStyle w:val="PlainText"/>
        <w:ind w:left="709" w:firstLine="707"/>
        <w:jc w:val="both"/>
        <w:rPr>
          <w:rFonts w:ascii="Calibri" w:hAnsi="Calibri" w:cs="Calibri"/>
          <w:sz w:val="22"/>
          <w:szCs w:val="22"/>
        </w:rPr>
      </w:pPr>
      <w:r>
        <w:rPr>
          <w:rFonts w:cs="Calibri" w:ascii="Calibri" w:hAnsi="Calibri"/>
          <w:sz w:val="22"/>
          <w:szCs w:val="22"/>
        </w:rPr>
      </w:r>
    </w:p>
    <w:tbl>
      <w:tblPr>
        <w:tblW w:w="8308"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1006"/>
        <w:gridCol w:w="2372"/>
        <w:gridCol w:w="1147"/>
        <w:gridCol w:w="1135"/>
        <w:gridCol w:w="1133"/>
        <w:gridCol w:w="1514"/>
      </w:tblGrid>
      <w:tr>
        <w:trPr>
          <w:trHeight w:val="180" w:hRule="atLeast"/>
        </w:trPr>
        <w:tc>
          <w:tcPr>
            <w:tcW w:w="1006" w:type="dxa"/>
            <w:tcBorders>
              <w:top w:val="single" w:sz="4" w:space="0" w:color="000000"/>
              <w:left w:val="single" w:sz="4" w:space="0" w:color="000000"/>
            </w:tcBorders>
            <w:shd w:color="000000" w:fill="C0C0C0" w:val="clear"/>
            <w:vAlign w:val="bottom"/>
          </w:tcPr>
          <w:p>
            <w:pPr>
              <w:pStyle w:val="Normal"/>
              <w:widowControl w:val="false"/>
              <w:jc w:val="center"/>
              <w:rPr>
                <w:rFonts w:ascii="MS SANS" w:hAnsi="MS SANS" w:cs="Calibri"/>
                <w:b/>
                <w:b/>
                <w:bCs/>
                <w:sz w:val="14"/>
                <w:szCs w:val="14"/>
              </w:rPr>
            </w:pPr>
            <w:bookmarkStart w:id="3" w:name="RANGE!A1%3AF29"/>
            <w:r>
              <w:rPr>
                <w:rFonts w:cs="Calibri" w:ascii="MS SANS" w:hAnsi="MS SANS"/>
                <w:b/>
                <w:bCs/>
                <w:sz w:val="14"/>
                <w:szCs w:val="14"/>
              </w:rPr>
              <w:t> </w:t>
            </w:r>
            <w:bookmarkEnd w:id="3"/>
          </w:p>
        </w:tc>
        <w:tc>
          <w:tcPr>
            <w:tcW w:w="2372" w:type="dxa"/>
            <w:tcBorders>
              <w:top w:val="single" w:sz="4" w:space="0" w:color="000000"/>
              <w:right w:val="single" w:sz="4" w:space="0" w:color="000000"/>
            </w:tcBorders>
            <w:shd w:color="000000" w:fill="C0C0C0" w:val="clear"/>
            <w:vAlign w:val="bottom"/>
          </w:tcPr>
          <w:p>
            <w:pPr>
              <w:pStyle w:val="Normal"/>
              <w:widowControl w:val="false"/>
              <w:jc w:val="center"/>
              <w:rPr>
                <w:rFonts w:ascii="MS SANS" w:hAnsi="MS SANS" w:cs="Calibri"/>
                <w:b/>
                <w:b/>
                <w:bCs/>
                <w:sz w:val="14"/>
                <w:szCs w:val="14"/>
              </w:rPr>
            </w:pPr>
            <w:r>
              <w:rPr>
                <w:rFonts w:cs="Calibri" w:ascii="MS SANS" w:hAnsi="MS SANS"/>
                <w:b/>
                <w:bCs/>
                <w:sz w:val="14"/>
                <w:szCs w:val="14"/>
              </w:rPr>
              <w:t> </w:t>
            </w:r>
          </w:p>
        </w:tc>
        <w:tc>
          <w:tcPr>
            <w:tcW w:w="1147" w:type="dxa"/>
            <w:tcBorders>
              <w:top w:val="single" w:sz="4" w:space="0" w:color="000000"/>
              <w:left w:val="single" w:sz="4" w:space="0" w:color="000000"/>
              <w:right w:val="single" w:sz="4" w:space="0" w:color="000000"/>
            </w:tcBorders>
            <w:shd w:color="000000" w:fill="C0C0C0" w:val="clear"/>
            <w:vAlign w:val="bottom"/>
          </w:tcPr>
          <w:p>
            <w:pPr>
              <w:pStyle w:val="Normal"/>
              <w:widowControl w:val="false"/>
              <w:jc w:val="center"/>
              <w:rPr>
                <w:rFonts w:ascii="MS SANS" w:hAnsi="MS SANS" w:cs="Calibri"/>
                <w:b/>
                <w:b/>
                <w:bCs/>
                <w:sz w:val="14"/>
                <w:szCs w:val="14"/>
              </w:rPr>
            </w:pPr>
            <w:r>
              <w:rPr>
                <w:rFonts w:cs="Calibri" w:ascii="MS SANS" w:hAnsi="MS SANS"/>
                <w:b/>
                <w:bCs/>
                <w:sz w:val="14"/>
                <w:szCs w:val="14"/>
              </w:rPr>
              <w:t> </w:t>
            </w:r>
          </w:p>
        </w:tc>
        <w:tc>
          <w:tcPr>
            <w:tcW w:w="3782" w:type="dxa"/>
            <w:gridSpan w:val="3"/>
            <w:tcBorders>
              <w:top w:val="single" w:sz="4" w:space="0" w:color="000000"/>
              <w:left w:val="single" w:sz="4" w:space="0" w:color="000000"/>
              <w:right w:val="single" w:sz="4" w:space="0" w:color="000000"/>
            </w:tcBorders>
            <w:shd w:color="000000" w:fill="C0C0C0" w:val="clear"/>
            <w:vAlign w:val="bottom"/>
          </w:tcPr>
          <w:p>
            <w:pPr>
              <w:pStyle w:val="Normal"/>
              <w:widowControl w:val="false"/>
              <w:jc w:val="center"/>
              <w:rPr>
                <w:rFonts w:ascii="MS SANS" w:hAnsi="MS SANS" w:cs="Calibri"/>
                <w:b/>
                <w:b/>
                <w:bCs/>
                <w:sz w:val="14"/>
                <w:szCs w:val="14"/>
              </w:rPr>
            </w:pPr>
            <w:r>
              <w:rPr>
                <w:rFonts w:cs="Calibri" w:ascii="MS SANS" w:hAnsi="MS SANS"/>
                <w:b/>
                <w:bCs/>
                <w:sz w:val="14"/>
                <w:szCs w:val="14"/>
              </w:rPr>
              <w:t>FINANÇAMENT</w:t>
            </w:r>
          </w:p>
        </w:tc>
      </w:tr>
      <w:tr>
        <w:trPr>
          <w:trHeight w:val="180" w:hRule="atLeast"/>
        </w:trPr>
        <w:tc>
          <w:tcPr>
            <w:tcW w:w="1006" w:type="dxa"/>
            <w:tcBorders>
              <w:left w:val="single" w:sz="4" w:space="0" w:color="000000"/>
            </w:tcBorders>
            <w:shd w:color="000000" w:fill="C0C0C0" w:val="clear"/>
            <w:vAlign w:val="bottom"/>
          </w:tcPr>
          <w:p>
            <w:pPr>
              <w:pStyle w:val="Normal"/>
              <w:widowControl w:val="false"/>
              <w:jc w:val="center"/>
              <w:rPr>
                <w:rFonts w:ascii="MS SANS" w:hAnsi="MS SANS" w:cs="Calibri"/>
                <w:b/>
                <w:b/>
                <w:bCs/>
                <w:sz w:val="14"/>
                <w:szCs w:val="14"/>
              </w:rPr>
            </w:pPr>
            <w:r>
              <w:rPr>
                <w:rFonts w:cs="Calibri" w:ascii="MS SANS" w:hAnsi="MS SANS"/>
                <w:b/>
                <w:bCs/>
                <w:sz w:val="14"/>
                <w:szCs w:val="14"/>
              </w:rPr>
              <w:t>PARTIDA</w:t>
            </w:r>
          </w:p>
        </w:tc>
        <w:tc>
          <w:tcPr>
            <w:tcW w:w="2372" w:type="dxa"/>
            <w:tcBorders>
              <w:right w:val="single" w:sz="4" w:space="0" w:color="000000"/>
            </w:tcBorders>
            <w:shd w:color="000000" w:fill="C0C0C0" w:val="clear"/>
            <w:vAlign w:val="bottom"/>
          </w:tcPr>
          <w:p>
            <w:pPr>
              <w:pStyle w:val="Normal"/>
              <w:widowControl w:val="false"/>
              <w:jc w:val="center"/>
              <w:rPr>
                <w:rFonts w:ascii="MS SANS" w:hAnsi="MS SANS" w:cs="Calibri"/>
                <w:b/>
                <w:b/>
                <w:bCs/>
                <w:sz w:val="14"/>
                <w:szCs w:val="14"/>
              </w:rPr>
            </w:pPr>
            <w:r>
              <w:rPr>
                <w:rFonts w:cs="Calibri" w:ascii="MS SANS" w:hAnsi="MS SANS"/>
                <w:b/>
                <w:bCs/>
                <w:sz w:val="14"/>
                <w:szCs w:val="14"/>
              </w:rPr>
              <w:t>CONCEPTE</w:t>
            </w:r>
          </w:p>
        </w:tc>
        <w:tc>
          <w:tcPr>
            <w:tcW w:w="1147" w:type="dxa"/>
            <w:tcBorders>
              <w:left w:val="single" w:sz="4" w:space="0" w:color="000000"/>
              <w:right w:val="single" w:sz="4" w:space="0" w:color="000000"/>
            </w:tcBorders>
            <w:shd w:color="000000" w:fill="C0C0C0" w:val="clear"/>
            <w:vAlign w:val="bottom"/>
          </w:tcPr>
          <w:p>
            <w:pPr>
              <w:pStyle w:val="Normal"/>
              <w:widowControl w:val="false"/>
              <w:jc w:val="center"/>
              <w:rPr>
                <w:rFonts w:ascii="MS SANS" w:hAnsi="MS SANS" w:cs="Calibri"/>
                <w:b/>
                <w:b/>
                <w:bCs/>
                <w:sz w:val="14"/>
                <w:szCs w:val="14"/>
              </w:rPr>
            </w:pPr>
            <w:r>
              <w:rPr>
                <w:rFonts w:cs="Calibri" w:ascii="MS SANS" w:hAnsi="MS SANS"/>
                <w:b/>
                <w:bCs/>
                <w:sz w:val="14"/>
                <w:szCs w:val="14"/>
              </w:rPr>
              <w:t>INCORPORACIO</w:t>
            </w:r>
          </w:p>
        </w:tc>
        <w:tc>
          <w:tcPr>
            <w:tcW w:w="1135" w:type="dxa"/>
            <w:tcBorders>
              <w:left w:val="single" w:sz="4" w:space="0" w:color="000000"/>
            </w:tcBorders>
            <w:shd w:color="000000" w:fill="C0C0C0" w:val="clear"/>
            <w:vAlign w:val="bottom"/>
          </w:tcPr>
          <w:p>
            <w:pPr>
              <w:pStyle w:val="Normal"/>
              <w:widowControl w:val="false"/>
              <w:jc w:val="center"/>
              <w:rPr>
                <w:rFonts w:ascii="MS SANS" w:hAnsi="MS SANS" w:cs="Calibri"/>
                <w:b/>
                <w:b/>
                <w:bCs/>
                <w:sz w:val="14"/>
                <w:szCs w:val="14"/>
              </w:rPr>
            </w:pPr>
            <w:r>
              <w:rPr>
                <w:rFonts w:cs="Calibri" w:ascii="MS SANS" w:hAnsi="MS SANS"/>
                <w:b/>
                <w:bCs/>
                <w:sz w:val="14"/>
                <w:szCs w:val="14"/>
              </w:rPr>
              <w:t>ROM.TRESOR.</w:t>
            </w:r>
          </w:p>
        </w:tc>
        <w:tc>
          <w:tcPr>
            <w:tcW w:w="1133" w:type="dxa"/>
            <w:tcBorders/>
            <w:shd w:color="000000" w:fill="C0C0C0" w:val="clear"/>
            <w:vAlign w:val="bottom"/>
          </w:tcPr>
          <w:p>
            <w:pPr>
              <w:pStyle w:val="Normal"/>
              <w:widowControl w:val="false"/>
              <w:jc w:val="center"/>
              <w:rPr>
                <w:rFonts w:ascii="MS SANS" w:hAnsi="MS SANS" w:cs="Calibri"/>
                <w:b/>
                <w:b/>
                <w:bCs/>
                <w:sz w:val="14"/>
                <w:szCs w:val="14"/>
              </w:rPr>
            </w:pPr>
            <w:r>
              <w:rPr>
                <w:rFonts w:cs="Calibri" w:ascii="MS SANS" w:hAnsi="MS SANS"/>
                <w:b/>
                <w:bCs/>
                <w:sz w:val="14"/>
                <w:szCs w:val="14"/>
              </w:rPr>
              <w:t>ROM.TRESOR.</w:t>
            </w:r>
          </w:p>
        </w:tc>
        <w:tc>
          <w:tcPr>
            <w:tcW w:w="1514" w:type="dxa"/>
            <w:tcBorders>
              <w:right w:val="single" w:sz="4" w:space="0" w:color="000000"/>
            </w:tcBorders>
            <w:shd w:color="000000" w:fill="C0C0C0" w:val="clear"/>
            <w:vAlign w:val="bottom"/>
          </w:tcPr>
          <w:p>
            <w:pPr>
              <w:pStyle w:val="Normal"/>
              <w:widowControl w:val="false"/>
              <w:jc w:val="center"/>
              <w:rPr>
                <w:rFonts w:ascii="MS SANS" w:hAnsi="MS SANS" w:cs="Calibri"/>
                <w:b/>
                <w:b/>
                <w:bCs/>
                <w:sz w:val="14"/>
                <w:szCs w:val="14"/>
              </w:rPr>
            </w:pPr>
            <w:r>
              <w:rPr>
                <w:rFonts w:cs="Calibri" w:ascii="MS SANS" w:hAnsi="MS SANS"/>
                <w:b/>
                <w:bCs/>
                <w:sz w:val="14"/>
                <w:szCs w:val="14"/>
              </w:rPr>
              <w:t>COMPROMISOS</w:t>
            </w:r>
          </w:p>
        </w:tc>
      </w:tr>
      <w:tr>
        <w:trPr>
          <w:trHeight w:val="180" w:hRule="atLeast"/>
        </w:trPr>
        <w:tc>
          <w:tcPr>
            <w:tcW w:w="1006" w:type="dxa"/>
            <w:tcBorders>
              <w:left w:val="single" w:sz="4" w:space="0" w:color="000000"/>
              <w:bottom w:val="single" w:sz="4" w:space="0" w:color="000000"/>
            </w:tcBorders>
            <w:shd w:color="000000" w:fill="C0C0C0" w:val="clear"/>
            <w:vAlign w:val="bottom"/>
          </w:tcPr>
          <w:p>
            <w:pPr>
              <w:pStyle w:val="Normal"/>
              <w:widowControl w:val="false"/>
              <w:jc w:val="center"/>
              <w:rPr>
                <w:rFonts w:ascii="MS SANS" w:hAnsi="MS SANS" w:cs="Calibri"/>
                <w:b/>
                <w:b/>
                <w:bCs/>
                <w:sz w:val="14"/>
                <w:szCs w:val="14"/>
              </w:rPr>
            </w:pPr>
            <w:r>
              <w:rPr>
                <w:rFonts w:cs="Calibri" w:ascii="MS SANS" w:hAnsi="MS SANS"/>
                <w:b/>
                <w:bCs/>
                <w:sz w:val="14"/>
                <w:szCs w:val="14"/>
              </w:rPr>
              <w:t> </w:t>
            </w:r>
          </w:p>
        </w:tc>
        <w:tc>
          <w:tcPr>
            <w:tcW w:w="2372" w:type="dxa"/>
            <w:tcBorders>
              <w:bottom w:val="single" w:sz="4" w:space="0" w:color="000000"/>
              <w:right w:val="single" w:sz="4" w:space="0" w:color="000000"/>
            </w:tcBorders>
            <w:shd w:color="000000" w:fill="C0C0C0" w:val="clear"/>
            <w:vAlign w:val="bottom"/>
          </w:tcPr>
          <w:p>
            <w:pPr>
              <w:pStyle w:val="Normal"/>
              <w:widowControl w:val="false"/>
              <w:jc w:val="center"/>
              <w:rPr>
                <w:rFonts w:ascii="MS SANS" w:hAnsi="MS SANS" w:cs="Calibri"/>
                <w:b/>
                <w:b/>
                <w:bCs/>
                <w:sz w:val="14"/>
                <w:szCs w:val="14"/>
              </w:rPr>
            </w:pPr>
            <w:r>
              <w:rPr>
                <w:rFonts w:cs="Calibri" w:ascii="MS SANS" w:hAnsi="MS SANS"/>
                <w:b/>
                <w:bCs/>
                <w:sz w:val="14"/>
                <w:szCs w:val="14"/>
              </w:rPr>
              <w:t> </w:t>
            </w:r>
          </w:p>
        </w:tc>
        <w:tc>
          <w:tcPr>
            <w:tcW w:w="1147" w:type="dxa"/>
            <w:tcBorders>
              <w:left w:val="single" w:sz="4" w:space="0" w:color="000000"/>
              <w:bottom w:val="single" w:sz="4" w:space="0" w:color="000000"/>
              <w:right w:val="single" w:sz="4" w:space="0" w:color="000000"/>
            </w:tcBorders>
            <w:shd w:color="000000" w:fill="C0C0C0" w:val="clear"/>
            <w:vAlign w:val="bottom"/>
          </w:tcPr>
          <w:p>
            <w:pPr>
              <w:pStyle w:val="Normal"/>
              <w:widowControl w:val="false"/>
              <w:jc w:val="center"/>
              <w:rPr>
                <w:rFonts w:ascii="MS SANS" w:hAnsi="MS SANS" w:cs="Calibri"/>
                <w:b/>
                <w:b/>
                <w:bCs/>
                <w:sz w:val="14"/>
                <w:szCs w:val="14"/>
              </w:rPr>
            </w:pPr>
            <w:r>
              <w:rPr>
                <w:rFonts w:cs="Calibri" w:ascii="MS SANS" w:hAnsi="MS SANS"/>
                <w:b/>
                <w:bCs/>
                <w:sz w:val="14"/>
                <w:szCs w:val="14"/>
              </w:rPr>
              <w:t> </w:t>
            </w:r>
          </w:p>
        </w:tc>
        <w:tc>
          <w:tcPr>
            <w:tcW w:w="1135" w:type="dxa"/>
            <w:tcBorders>
              <w:left w:val="single" w:sz="4" w:space="0" w:color="000000"/>
              <w:bottom w:val="single" w:sz="4" w:space="0" w:color="000000"/>
            </w:tcBorders>
            <w:shd w:color="000000" w:fill="C0C0C0" w:val="clear"/>
            <w:vAlign w:val="bottom"/>
          </w:tcPr>
          <w:p>
            <w:pPr>
              <w:pStyle w:val="Normal"/>
              <w:widowControl w:val="false"/>
              <w:jc w:val="center"/>
              <w:rPr>
                <w:rFonts w:ascii="MS SANS" w:hAnsi="MS SANS" w:cs="Calibri"/>
                <w:b/>
                <w:b/>
                <w:bCs/>
                <w:sz w:val="14"/>
                <w:szCs w:val="14"/>
              </w:rPr>
            </w:pPr>
            <w:r>
              <w:rPr>
                <w:rFonts w:cs="Calibri" w:ascii="MS SANS" w:hAnsi="MS SANS"/>
                <w:b/>
                <w:bCs/>
                <w:sz w:val="14"/>
                <w:szCs w:val="14"/>
              </w:rPr>
              <w:t>APORT.MPAL.</w:t>
            </w:r>
          </w:p>
        </w:tc>
        <w:tc>
          <w:tcPr>
            <w:tcW w:w="1133" w:type="dxa"/>
            <w:tcBorders>
              <w:bottom w:val="single" w:sz="4" w:space="0" w:color="000000"/>
            </w:tcBorders>
            <w:shd w:color="000000" w:fill="C0C0C0" w:val="clear"/>
            <w:vAlign w:val="bottom"/>
          </w:tcPr>
          <w:p>
            <w:pPr>
              <w:pStyle w:val="Normal"/>
              <w:widowControl w:val="false"/>
              <w:jc w:val="center"/>
              <w:rPr>
                <w:rFonts w:ascii="MS SANS" w:hAnsi="MS SANS" w:cs="Calibri"/>
                <w:b/>
                <w:b/>
                <w:bCs/>
                <w:sz w:val="14"/>
                <w:szCs w:val="14"/>
              </w:rPr>
            </w:pPr>
            <w:r>
              <w:rPr>
                <w:rFonts w:cs="Calibri" w:ascii="MS SANS" w:hAnsi="MS SANS"/>
                <w:b/>
                <w:bCs/>
                <w:sz w:val="14"/>
                <w:szCs w:val="14"/>
              </w:rPr>
              <w:t>AFECTAT</w:t>
            </w:r>
          </w:p>
        </w:tc>
        <w:tc>
          <w:tcPr>
            <w:tcW w:w="1514" w:type="dxa"/>
            <w:tcBorders>
              <w:bottom w:val="single" w:sz="4" w:space="0" w:color="000000"/>
              <w:right w:val="single" w:sz="4" w:space="0" w:color="000000"/>
            </w:tcBorders>
            <w:shd w:color="000000" w:fill="C0C0C0" w:val="clear"/>
            <w:vAlign w:val="bottom"/>
          </w:tcPr>
          <w:p>
            <w:pPr>
              <w:pStyle w:val="Normal"/>
              <w:widowControl w:val="false"/>
              <w:jc w:val="center"/>
              <w:rPr>
                <w:rFonts w:ascii="MS SANS" w:hAnsi="MS SANS" w:cs="Calibri"/>
                <w:b/>
                <w:b/>
                <w:bCs/>
                <w:sz w:val="14"/>
                <w:szCs w:val="14"/>
              </w:rPr>
            </w:pPr>
            <w:r>
              <w:rPr>
                <w:rFonts w:cs="Calibri" w:ascii="MS SANS" w:hAnsi="MS SANS"/>
                <w:b/>
                <w:bCs/>
                <w:sz w:val="14"/>
                <w:szCs w:val="14"/>
              </w:rPr>
              <w:t>FERMS APORTACIÓ</w:t>
            </w:r>
          </w:p>
        </w:tc>
      </w:tr>
      <w:tr>
        <w:trPr>
          <w:trHeight w:val="180" w:hRule="atLeast"/>
        </w:trPr>
        <w:tc>
          <w:tcPr>
            <w:tcW w:w="1006" w:type="dxa"/>
            <w:tcBorders>
              <w:lef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r>
          </w:p>
        </w:tc>
        <w:tc>
          <w:tcPr>
            <w:tcW w:w="1147" w:type="dxa"/>
            <w:tcBorders>
              <w:left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tc>
        <w:tc>
          <w:tcPr>
            <w:tcW w:w="1135" w:type="dxa"/>
            <w:tcBorders>
              <w:left w:val="single" w:sz="4" w:space="0" w:color="000000"/>
            </w:tcBorders>
            <w:shd w:color="auto" w:fill="auto" w:val="clear"/>
            <w:vAlign w:val="bottom"/>
          </w:tcPr>
          <w:p>
            <w:pPr>
              <w:pStyle w:val="Normal"/>
              <w:widowControl w:val="false"/>
              <w:rPr>
                <w:sz w:val="20"/>
                <w:szCs w:val="20"/>
              </w:rPr>
            </w:pPr>
            <w:r>
              <w:rPr>
                <w:sz w:val="20"/>
                <w:szCs w:val="20"/>
              </w:rPr>
            </w:r>
          </w:p>
        </w:tc>
        <w:tc>
          <w:tcPr>
            <w:tcW w:w="1133" w:type="dxa"/>
            <w:tcBorders/>
            <w:shd w:color="auto" w:fill="auto" w:val="clear"/>
            <w:vAlign w:val="bottom"/>
          </w:tcPr>
          <w:p>
            <w:pPr>
              <w:pStyle w:val="Normal"/>
              <w:widowControl w:val="false"/>
              <w:rPr>
                <w:sz w:val="20"/>
                <w:szCs w:val="20"/>
              </w:rPr>
            </w:pPr>
            <w:r>
              <w:rPr>
                <w:sz w:val="20"/>
                <w:szCs w:val="20"/>
              </w:rPr>
            </w:r>
          </w:p>
        </w:tc>
        <w:tc>
          <w:tcPr>
            <w:tcW w:w="1514"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r>
      <w:tr>
        <w:trPr>
          <w:trHeight w:val="180" w:hRule="atLeast"/>
        </w:trPr>
        <w:tc>
          <w:tcPr>
            <w:tcW w:w="1006" w:type="dxa"/>
            <w:tcBorders>
              <w:left w:val="single" w:sz="4" w:space="0" w:color="000000"/>
            </w:tcBorders>
            <w:shd w:color="auto" w:fill="auto" w:val="clear"/>
            <w:vAlign w:val="bottom"/>
          </w:tcPr>
          <w:p>
            <w:pPr>
              <w:pStyle w:val="Normal"/>
              <w:widowControl w:val="false"/>
              <w:jc w:val="center"/>
              <w:rPr>
                <w:rFonts w:ascii="MS SANS" w:hAnsi="MS SANS" w:cs="Calibri"/>
                <w:sz w:val="14"/>
                <w:szCs w:val="14"/>
              </w:rPr>
            </w:pPr>
            <w:r>
              <w:rPr>
                <w:rFonts w:cs="Calibri" w:ascii="MS SANS" w:hAnsi="MS SANS"/>
                <w:sz w:val="14"/>
                <w:szCs w:val="14"/>
              </w:rPr>
              <w:t>321/62200</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CONSTRUCC.CENTRE ED.INFANTIL</w:t>
            </w:r>
          </w:p>
        </w:tc>
        <w:tc>
          <w:tcPr>
            <w:tcW w:w="1147" w:type="dxa"/>
            <w:tcBorders>
              <w:left w:val="single" w:sz="4" w:space="0" w:color="000000"/>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433.000,00</w:t>
            </w:r>
          </w:p>
        </w:tc>
        <w:tc>
          <w:tcPr>
            <w:tcW w:w="1135" w:type="dxa"/>
            <w:tcBorders>
              <w:lef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50.000,00</w:t>
            </w:r>
          </w:p>
        </w:tc>
        <w:tc>
          <w:tcPr>
            <w:tcW w:w="1133" w:type="dxa"/>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50.000,00</w:t>
            </w:r>
          </w:p>
        </w:tc>
        <w:tc>
          <w:tcPr>
            <w:tcW w:w="1514" w:type="dxa"/>
            <w:tcBorders>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333.000,00</w:t>
            </w:r>
          </w:p>
        </w:tc>
      </w:tr>
      <w:tr>
        <w:trPr>
          <w:trHeight w:val="180" w:hRule="atLeast"/>
        </w:trPr>
        <w:tc>
          <w:tcPr>
            <w:tcW w:w="1006" w:type="dxa"/>
            <w:tcBorders>
              <w:lef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r>
          </w:p>
        </w:tc>
        <w:tc>
          <w:tcPr>
            <w:tcW w:w="1147" w:type="dxa"/>
            <w:tcBorders>
              <w:left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tc>
        <w:tc>
          <w:tcPr>
            <w:tcW w:w="1135" w:type="dxa"/>
            <w:tcBorders>
              <w:left w:val="single" w:sz="4" w:space="0" w:color="000000"/>
            </w:tcBorders>
            <w:shd w:color="auto" w:fill="auto" w:val="clear"/>
            <w:vAlign w:val="bottom"/>
          </w:tcPr>
          <w:p>
            <w:pPr>
              <w:pStyle w:val="Normal"/>
              <w:widowControl w:val="false"/>
              <w:rPr>
                <w:sz w:val="20"/>
                <w:szCs w:val="20"/>
              </w:rPr>
            </w:pPr>
            <w:r>
              <w:rPr>
                <w:sz w:val="20"/>
                <w:szCs w:val="20"/>
              </w:rPr>
            </w:r>
          </w:p>
        </w:tc>
        <w:tc>
          <w:tcPr>
            <w:tcW w:w="1133" w:type="dxa"/>
            <w:tcBorders/>
            <w:shd w:color="auto" w:fill="auto" w:val="clear"/>
            <w:vAlign w:val="bottom"/>
          </w:tcPr>
          <w:p>
            <w:pPr>
              <w:pStyle w:val="Normal"/>
              <w:widowControl w:val="false"/>
              <w:rPr>
                <w:sz w:val="20"/>
                <w:szCs w:val="20"/>
              </w:rPr>
            </w:pPr>
            <w:r>
              <w:rPr>
                <w:sz w:val="20"/>
                <w:szCs w:val="20"/>
              </w:rPr>
            </w:r>
          </w:p>
        </w:tc>
        <w:tc>
          <w:tcPr>
            <w:tcW w:w="1514"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r>
      <w:tr>
        <w:trPr>
          <w:trHeight w:val="180" w:hRule="atLeast"/>
        </w:trPr>
        <w:tc>
          <w:tcPr>
            <w:tcW w:w="1006" w:type="dxa"/>
            <w:tcBorders>
              <w:left w:val="single" w:sz="4" w:space="0" w:color="000000"/>
            </w:tcBorders>
            <w:shd w:color="auto" w:fill="auto" w:val="clear"/>
            <w:vAlign w:val="bottom"/>
          </w:tcPr>
          <w:p>
            <w:pPr>
              <w:pStyle w:val="Normal"/>
              <w:widowControl w:val="false"/>
              <w:jc w:val="center"/>
              <w:rPr>
                <w:rFonts w:ascii="MS SANS" w:hAnsi="MS SANS" w:cs="Calibri"/>
                <w:sz w:val="14"/>
                <w:szCs w:val="14"/>
              </w:rPr>
            </w:pPr>
            <w:r>
              <w:rPr>
                <w:rFonts w:cs="Calibri" w:ascii="MS SANS" w:hAnsi="MS SANS"/>
                <w:sz w:val="14"/>
                <w:szCs w:val="14"/>
              </w:rPr>
              <w:t>920/62400</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ADQ.CAMIO BRIGADA</w:t>
            </w:r>
          </w:p>
        </w:tc>
        <w:tc>
          <w:tcPr>
            <w:tcW w:w="1147" w:type="dxa"/>
            <w:tcBorders>
              <w:left w:val="single" w:sz="4" w:space="0" w:color="000000"/>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1.000,00</w:t>
            </w:r>
          </w:p>
        </w:tc>
        <w:tc>
          <w:tcPr>
            <w:tcW w:w="1135" w:type="dxa"/>
            <w:tcBorders>
              <w:lef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1.000,00</w:t>
            </w:r>
          </w:p>
        </w:tc>
        <w:tc>
          <w:tcPr>
            <w:tcW w:w="1133" w:type="dxa"/>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c>
          <w:tcPr>
            <w:tcW w:w="1514" w:type="dxa"/>
            <w:tcBorders>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r>
      <w:tr>
        <w:trPr>
          <w:trHeight w:val="180" w:hRule="atLeast"/>
        </w:trPr>
        <w:tc>
          <w:tcPr>
            <w:tcW w:w="1006" w:type="dxa"/>
            <w:tcBorders>
              <w:lef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r>
          </w:p>
        </w:tc>
        <w:tc>
          <w:tcPr>
            <w:tcW w:w="1147" w:type="dxa"/>
            <w:tcBorders>
              <w:left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tc>
        <w:tc>
          <w:tcPr>
            <w:tcW w:w="1135" w:type="dxa"/>
            <w:tcBorders>
              <w:left w:val="single" w:sz="4" w:space="0" w:color="000000"/>
            </w:tcBorders>
            <w:shd w:color="auto" w:fill="auto" w:val="clear"/>
            <w:vAlign w:val="bottom"/>
          </w:tcPr>
          <w:p>
            <w:pPr>
              <w:pStyle w:val="Normal"/>
              <w:widowControl w:val="false"/>
              <w:rPr>
                <w:sz w:val="20"/>
                <w:szCs w:val="20"/>
              </w:rPr>
            </w:pPr>
            <w:r>
              <w:rPr>
                <w:sz w:val="20"/>
                <w:szCs w:val="20"/>
              </w:rPr>
            </w:r>
          </w:p>
        </w:tc>
        <w:tc>
          <w:tcPr>
            <w:tcW w:w="1133" w:type="dxa"/>
            <w:tcBorders/>
            <w:shd w:color="auto" w:fill="auto" w:val="clear"/>
            <w:vAlign w:val="bottom"/>
          </w:tcPr>
          <w:p>
            <w:pPr>
              <w:pStyle w:val="Normal"/>
              <w:widowControl w:val="false"/>
              <w:rPr>
                <w:sz w:val="20"/>
                <w:szCs w:val="20"/>
              </w:rPr>
            </w:pPr>
            <w:r>
              <w:rPr>
                <w:sz w:val="20"/>
                <w:szCs w:val="20"/>
              </w:rPr>
            </w:r>
          </w:p>
        </w:tc>
        <w:tc>
          <w:tcPr>
            <w:tcW w:w="1514"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r>
      <w:tr>
        <w:trPr>
          <w:trHeight w:val="180" w:hRule="atLeast"/>
        </w:trPr>
        <w:tc>
          <w:tcPr>
            <w:tcW w:w="1006" w:type="dxa"/>
            <w:tcBorders>
              <w:left w:val="single" w:sz="4" w:space="0" w:color="000000"/>
            </w:tcBorders>
            <w:shd w:color="auto" w:fill="auto" w:val="clear"/>
            <w:vAlign w:val="bottom"/>
          </w:tcPr>
          <w:p>
            <w:pPr>
              <w:pStyle w:val="Normal"/>
              <w:widowControl w:val="false"/>
              <w:jc w:val="center"/>
              <w:rPr>
                <w:rFonts w:ascii="MS SANS" w:hAnsi="MS SANS" w:cs="Calibri"/>
                <w:sz w:val="14"/>
                <w:szCs w:val="14"/>
              </w:rPr>
            </w:pPr>
            <w:r>
              <w:rPr>
                <w:rFonts w:cs="Calibri" w:ascii="MS SANS" w:hAnsi="MS SANS"/>
                <w:sz w:val="14"/>
                <w:szCs w:val="14"/>
              </w:rPr>
              <w:t>9201/62400</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ADQ.VEHICLE ELECTRIC</w:t>
            </w:r>
          </w:p>
        </w:tc>
        <w:tc>
          <w:tcPr>
            <w:tcW w:w="1147" w:type="dxa"/>
            <w:tcBorders>
              <w:left w:val="single" w:sz="4" w:space="0" w:color="000000"/>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25.000,00</w:t>
            </w:r>
          </w:p>
        </w:tc>
        <w:tc>
          <w:tcPr>
            <w:tcW w:w="1135" w:type="dxa"/>
            <w:tcBorders>
              <w:lef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25.000,00</w:t>
            </w:r>
          </w:p>
        </w:tc>
        <w:tc>
          <w:tcPr>
            <w:tcW w:w="1133" w:type="dxa"/>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c>
          <w:tcPr>
            <w:tcW w:w="1514" w:type="dxa"/>
            <w:tcBorders>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r>
      <w:tr>
        <w:trPr>
          <w:trHeight w:val="180" w:hRule="atLeast"/>
        </w:trPr>
        <w:tc>
          <w:tcPr>
            <w:tcW w:w="1006" w:type="dxa"/>
            <w:tcBorders>
              <w:lef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r>
          </w:p>
        </w:tc>
        <w:tc>
          <w:tcPr>
            <w:tcW w:w="1147" w:type="dxa"/>
            <w:tcBorders>
              <w:left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tc>
        <w:tc>
          <w:tcPr>
            <w:tcW w:w="1135" w:type="dxa"/>
            <w:tcBorders>
              <w:left w:val="single" w:sz="4" w:space="0" w:color="000000"/>
            </w:tcBorders>
            <w:shd w:color="auto" w:fill="auto" w:val="clear"/>
            <w:vAlign w:val="bottom"/>
          </w:tcPr>
          <w:p>
            <w:pPr>
              <w:pStyle w:val="Normal"/>
              <w:widowControl w:val="false"/>
              <w:rPr>
                <w:sz w:val="20"/>
                <w:szCs w:val="20"/>
              </w:rPr>
            </w:pPr>
            <w:r>
              <w:rPr>
                <w:sz w:val="20"/>
                <w:szCs w:val="20"/>
              </w:rPr>
            </w:r>
          </w:p>
        </w:tc>
        <w:tc>
          <w:tcPr>
            <w:tcW w:w="1133" w:type="dxa"/>
            <w:tcBorders/>
            <w:shd w:color="auto" w:fill="auto" w:val="clear"/>
            <w:vAlign w:val="bottom"/>
          </w:tcPr>
          <w:p>
            <w:pPr>
              <w:pStyle w:val="Normal"/>
              <w:widowControl w:val="false"/>
              <w:rPr>
                <w:sz w:val="20"/>
                <w:szCs w:val="20"/>
              </w:rPr>
            </w:pPr>
            <w:r>
              <w:rPr>
                <w:sz w:val="20"/>
                <w:szCs w:val="20"/>
              </w:rPr>
            </w:r>
          </w:p>
        </w:tc>
        <w:tc>
          <w:tcPr>
            <w:tcW w:w="1514"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r>
      <w:tr>
        <w:trPr>
          <w:trHeight w:val="180" w:hRule="atLeast"/>
        </w:trPr>
        <w:tc>
          <w:tcPr>
            <w:tcW w:w="1006" w:type="dxa"/>
            <w:tcBorders>
              <w:left w:val="single" w:sz="4" w:space="0" w:color="000000"/>
            </w:tcBorders>
            <w:shd w:color="auto" w:fill="auto" w:val="clear"/>
            <w:vAlign w:val="bottom"/>
          </w:tcPr>
          <w:p>
            <w:pPr>
              <w:pStyle w:val="Normal"/>
              <w:widowControl w:val="false"/>
              <w:jc w:val="center"/>
              <w:rPr>
                <w:rFonts w:ascii="MS SANS" w:hAnsi="MS SANS" w:cs="Calibri"/>
                <w:sz w:val="14"/>
                <w:szCs w:val="14"/>
              </w:rPr>
            </w:pPr>
            <w:r>
              <w:rPr>
                <w:rFonts w:cs="Calibri" w:ascii="MS SANS" w:hAnsi="MS SANS"/>
                <w:sz w:val="14"/>
                <w:szCs w:val="14"/>
              </w:rPr>
              <w:t>9201/62601</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FREQUENCIA RADIO</w:t>
            </w:r>
          </w:p>
        </w:tc>
        <w:tc>
          <w:tcPr>
            <w:tcW w:w="1147" w:type="dxa"/>
            <w:tcBorders>
              <w:left w:val="single" w:sz="4" w:space="0" w:color="000000"/>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500,00</w:t>
            </w:r>
          </w:p>
        </w:tc>
        <w:tc>
          <w:tcPr>
            <w:tcW w:w="1135" w:type="dxa"/>
            <w:tcBorders>
              <w:lef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500,00</w:t>
            </w:r>
          </w:p>
        </w:tc>
        <w:tc>
          <w:tcPr>
            <w:tcW w:w="1133" w:type="dxa"/>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c>
          <w:tcPr>
            <w:tcW w:w="1514" w:type="dxa"/>
            <w:tcBorders>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r>
      <w:tr>
        <w:trPr>
          <w:trHeight w:val="180" w:hRule="atLeast"/>
        </w:trPr>
        <w:tc>
          <w:tcPr>
            <w:tcW w:w="1006" w:type="dxa"/>
            <w:tcBorders>
              <w:lef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r>
          </w:p>
        </w:tc>
        <w:tc>
          <w:tcPr>
            <w:tcW w:w="1147" w:type="dxa"/>
            <w:tcBorders>
              <w:left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tc>
        <w:tc>
          <w:tcPr>
            <w:tcW w:w="1135" w:type="dxa"/>
            <w:tcBorders>
              <w:left w:val="single" w:sz="4" w:space="0" w:color="000000"/>
            </w:tcBorders>
            <w:shd w:color="auto" w:fill="auto" w:val="clear"/>
            <w:vAlign w:val="bottom"/>
          </w:tcPr>
          <w:p>
            <w:pPr>
              <w:pStyle w:val="Normal"/>
              <w:widowControl w:val="false"/>
              <w:rPr>
                <w:sz w:val="20"/>
                <w:szCs w:val="20"/>
              </w:rPr>
            </w:pPr>
            <w:r>
              <w:rPr>
                <w:sz w:val="20"/>
                <w:szCs w:val="20"/>
              </w:rPr>
            </w:r>
          </w:p>
        </w:tc>
        <w:tc>
          <w:tcPr>
            <w:tcW w:w="1133" w:type="dxa"/>
            <w:tcBorders/>
            <w:shd w:color="auto" w:fill="auto" w:val="clear"/>
            <w:vAlign w:val="bottom"/>
          </w:tcPr>
          <w:p>
            <w:pPr>
              <w:pStyle w:val="Normal"/>
              <w:widowControl w:val="false"/>
              <w:rPr>
                <w:sz w:val="20"/>
                <w:szCs w:val="20"/>
              </w:rPr>
            </w:pPr>
            <w:r>
              <w:rPr>
                <w:sz w:val="20"/>
                <w:szCs w:val="20"/>
              </w:rPr>
            </w:r>
          </w:p>
        </w:tc>
        <w:tc>
          <w:tcPr>
            <w:tcW w:w="1514"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r>
      <w:tr>
        <w:trPr>
          <w:trHeight w:val="180" w:hRule="atLeast"/>
        </w:trPr>
        <w:tc>
          <w:tcPr>
            <w:tcW w:w="1006" w:type="dxa"/>
            <w:tcBorders>
              <w:left w:val="single" w:sz="4" w:space="0" w:color="000000"/>
            </w:tcBorders>
            <w:shd w:color="auto" w:fill="auto" w:val="clear"/>
            <w:vAlign w:val="bottom"/>
          </w:tcPr>
          <w:p>
            <w:pPr>
              <w:pStyle w:val="Normal"/>
              <w:widowControl w:val="false"/>
              <w:jc w:val="center"/>
              <w:rPr>
                <w:rFonts w:ascii="MS SANS" w:hAnsi="MS SANS" w:cs="Calibri"/>
                <w:sz w:val="14"/>
                <w:szCs w:val="14"/>
              </w:rPr>
            </w:pPr>
            <w:r>
              <w:rPr>
                <w:rFonts w:cs="Calibri" w:ascii="MS SANS" w:hAnsi="MS SANS"/>
                <w:sz w:val="14"/>
                <w:szCs w:val="14"/>
              </w:rPr>
              <w:t>1532/60906</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MILLORES EN VIALS PÚBLICS</w:t>
            </w:r>
          </w:p>
        </w:tc>
        <w:tc>
          <w:tcPr>
            <w:tcW w:w="1147" w:type="dxa"/>
            <w:tcBorders>
              <w:left w:val="single" w:sz="4" w:space="0" w:color="000000"/>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17.860,14</w:t>
            </w:r>
          </w:p>
        </w:tc>
        <w:tc>
          <w:tcPr>
            <w:tcW w:w="1135" w:type="dxa"/>
            <w:tcBorders>
              <w:lef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17.860,14</w:t>
            </w:r>
          </w:p>
        </w:tc>
        <w:tc>
          <w:tcPr>
            <w:tcW w:w="1133" w:type="dxa"/>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c>
          <w:tcPr>
            <w:tcW w:w="1514" w:type="dxa"/>
            <w:tcBorders>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r>
      <w:tr>
        <w:trPr>
          <w:trHeight w:val="180" w:hRule="atLeast"/>
        </w:trPr>
        <w:tc>
          <w:tcPr>
            <w:tcW w:w="1006" w:type="dxa"/>
            <w:tcBorders>
              <w:lef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r>
          </w:p>
        </w:tc>
        <w:tc>
          <w:tcPr>
            <w:tcW w:w="1147" w:type="dxa"/>
            <w:tcBorders>
              <w:left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tc>
        <w:tc>
          <w:tcPr>
            <w:tcW w:w="1135" w:type="dxa"/>
            <w:tcBorders>
              <w:left w:val="single" w:sz="4" w:space="0" w:color="000000"/>
            </w:tcBorders>
            <w:shd w:color="auto" w:fill="auto" w:val="clear"/>
            <w:vAlign w:val="bottom"/>
          </w:tcPr>
          <w:p>
            <w:pPr>
              <w:pStyle w:val="Normal"/>
              <w:widowControl w:val="false"/>
              <w:rPr>
                <w:sz w:val="20"/>
                <w:szCs w:val="20"/>
              </w:rPr>
            </w:pPr>
            <w:r>
              <w:rPr>
                <w:sz w:val="20"/>
                <w:szCs w:val="20"/>
              </w:rPr>
            </w:r>
          </w:p>
        </w:tc>
        <w:tc>
          <w:tcPr>
            <w:tcW w:w="1133" w:type="dxa"/>
            <w:tcBorders/>
            <w:shd w:color="auto" w:fill="auto" w:val="clear"/>
            <w:vAlign w:val="bottom"/>
          </w:tcPr>
          <w:p>
            <w:pPr>
              <w:pStyle w:val="Normal"/>
              <w:widowControl w:val="false"/>
              <w:rPr>
                <w:sz w:val="20"/>
                <w:szCs w:val="20"/>
              </w:rPr>
            </w:pPr>
            <w:r>
              <w:rPr>
                <w:sz w:val="20"/>
                <w:szCs w:val="20"/>
              </w:rPr>
            </w:r>
          </w:p>
        </w:tc>
        <w:tc>
          <w:tcPr>
            <w:tcW w:w="1514"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r>
      <w:tr>
        <w:trPr>
          <w:trHeight w:val="180" w:hRule="atLeast"/>
        </w:trPr>
        <w:tc>
          <w:tcPr>
            <w:tcW w:w="1006" w:type="dxa"/>
            <w:tcBorders>
              <w:left w:val="single" w:sz="4" w:space="0" w:color="000000"/>
            </w:tcBorders>
            <w:shd w:color="auto" w:fill="auto" w:val="clear"/>
            <w:vAlign w:val="bottom"/>
          </w:tcPr>
          <w:p>
            <w:pPr>
              <w:pStyle w:val="Normal"/>
              <w:widowControl w:val="false"/>
              <w:jc w:val="center"/>
              <w:rPr>
                <w:rFonts w:ascii="MS SANS" w:hAnsi="MS SANS" w:cs="Calibri"/>
                <w:sz w:val="14"/>
                <w:szCs w:val="14"/>
              </w:rPr>
            </w:pPr>
            <w:r>
              <w:rPr>
                <w:rFonts w:cs="Calibri" w:ascii="MS SANS" w:hAnsi="MS SANS"/>
                <w:sz w:val="14"/>
                <w:szCs w:val="14"/>
              </w:rPr>
              <w:t>161/61901</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XARXA AIGUA FUITES AIGUA</w:t>
            </w:r>
          </w:p>
        </w:tc>
        <w:tc>
          <w:tcPr>
            <w:tcW w:w="1147" w:type="dxa"/>
            <w:tcBorders>
              <w:left w:val="single" w:sz="4" w:space="0" w:color="000000"/>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50.000,00</w:t>
            </w:r>
          </w:p>
        </w:tc>
        <w:tc>
          <w:tcPr>
            <w:tcW w:w="1135" w:type="dxa"/>
            <w:tcBorders>
              <w:lef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50.000,00</w:t>
            </w:r>
          </w:p>
        </w:tc>
        <w:tc>
          <w:tcPr>
            <w:tcW w:w="1133" w:type="dxa"/>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c>
          <w:tcPr>
            <w:tcW w:w="1514" w:type="dxa"/>
            <w:tcBorders>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r>
      <w:tr>
        <w:trPr>
          <w:trHeight w:val="180" w:hRule="atLeast"/>
        </w:trPr>
        <w:tc>
          <w:tcPr>
            <w:tcW w:w="1006" w:type="dxa"/>
            <w:tcBorders>
              <w:lef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r>
          </w:p>
        </w:tc>
        <w:tc>
          <w:tcPr>
            <w:tcW w:w="1147" w:type="dxa"/>
            <w:tcBorders>
              <w:left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tc>
        <w:tc>
          <w:tcPr>
            <w:tcW w:w="1135" w:type="dxa"/>
            <w:tcBorders>
              <w:left w:val="single" w:sz="4" w:space="0" w:color="000000"/>
            </w:tcBorders>
            <w:shd w:color="auto" w:fill="auto" w:val="clear"/>
            <w:vAlign w:val="bottom"/>
          </w:tcPr>
          <w:p>
            <w:pPr>
              <w:pStyle w:val="Normal"/>
              <w:widowControl w:val="false"/>
              <w:rPr>
                <w:sz w:val="20"/>
                <w:szCs w:val="20"/>
              </w:rPr>
            </w:pPr>
            <w:r>
              <w:rPr>
                <w:sz w:val="20"/>
                <w:szCs w:val="20"/>
              </w:rPr>
            </w:r>
          </w:p>
        </w:tc>
        <w:tc>
          <w:tcPr>
            <w:tcW w:w="1133" w:type="dxa"/>
            <w:tcBorders/>
            <w:shd w:color="auto" w:fill="auto" w:val="clear"/>
            <w:vAlign w:val="bottom"/>
          </w:tcPr>
          <w:p>
            <w:pPr>
              <w:pStyle w:val="Normal"/>
              <w:widowControl w:val="false"/>
              <w:rPr>
                <w:sz w:val="20"/>
                <w:szCs w:val="20"/>
              </w:rPr>
            </w:pPr>
            <w:r>
              <w:rPr>
                <w:sz w:val="20"/>
                <w:szCs w:val="20"/>
              </w:rPr>
            </w:r>
          </w:p>
        </w:tc>
        <w:tc>
          <w:tcPr>
            <w:tcW w:w="1514"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r>
      <w:tr>
        <w:trPr>
          <w:trHeight w:val="180" w:hRule="atLeast"/>
        </w:trPr>
        <w:tc>
          <w:tcPr>
            <w:tcW w:w="1006" w:type="dxa"/>
            <w:tcBorders>
              <w:left w:val="single" w:sz="4" w:space="0" w:color="000000"/>
            </w:tcBorders>
            <w:shd w:color="auto" w:fill="auto" w:val="clear"/>
            <w:vAlign w:val="bottom"/>
          </w:tcPr>
          <w:p>
            <w:pPr>
              <w:pStyle w:val="Normal"/>
              <w:widowControl w:val="false"/>
              <w:jc w:val="center"/>
              <w:rPr>
                <w:rFonts w:ascii="MS SANS" w:hAnsi="MS SANS" w:cs="Calibri"/>
                <w:sz w:val="14"/>
                <w:szCs w:val="14"/>
              </w:rPr>
            </w:pPr>
            <w:r>
              <w:rPr>
                <w:rFonts w:cs="Calibri" w:ascii="MS SANS" w:hAnsi="MS SANS"/>
                <w:sz w:val="14"/>
                <w:szCs w:val="14"/>
              </w:rPr>
              <w:t>9201/62400</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ADQ.VEHICLE ELECTRIC PAES</w:t>
            </w:r>
          </w:p>
        </w:tc>
        <w:tc>
          <w:tcPr>
            <w:tcW w:w="1147" w:type="dxa"/>
            <w:tcBorders>
              <w:left w:val="single" w:sz="4" w:space="0" w:color="000000"/>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41.140,00</w:t>
            </w:r>
          </w:p>
        </w:tc>
        <w:tc>
          <w:tcPr>
            <w:tcW w:w="1135" w:type="dxa"/>
            <w:tcBorders>
              <w:lef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c>
          <w:tcPr>
            <w:tcW w:w="1133" w:type="dxa"/>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41.140,00</w:t>
            </w:r>
          </w:p>
        </w:tc>
        <w:tc>
          <w:tcPr>
            <w:tcW w:w="1514" w:type="dxa"/>
            <w:tcBorders>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r>
      <w:tr>
        <w:trPr>
          <w:trHeight w:val="180" w:hRule="atLeast"/>
        </w:trPr>
        <w:tc>
          <w:tcPr>
            <w:tcW w:w="1006" w:type="dxa"/>
            <w:tcBorders>
              <w:lef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r>
          </w:p>
        </w:tc>
        <w:tc>
          <w:tcPr>
            <w:tcW w:w="1147" w:type="dxa"/>
            <w:tcBorders>
              <w:left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tc>
        <w:tc>
          <w:tcPr>
            <w:tcW w:w="1135" w:type="dxa"/>
            <w:tcBorders>
              <w:left w:val="single" w:sz="4" w:space="0" w:color="000000"/>
            </w:tcBorders>
            <w:shd w:color="auto" w:fill="auto" w:val="clear"/>
            <w:vAlign w:val="bottom"/>
          </w:tcPr>
          <w:p>
            <w:pPr>
              <w:pStyle w:val="Normal"/>
              <w:widowControl w:val="false"/>
              <w:rPr>
                <w:sz w:val="20"/>
                <w:szCs w:val="20"/>
              </w:rPr>
            </w:pPr>
            <w:r>
              <w:rPr>
                <w:sz w:val="20"/>
                <w:szCs w:val="20"/>
              </w:rPr>
            </w:r>
          </w:p>
        </w:tc>
        <w:tc>
          <w:tcPr>
            <w:tcW w:w="1133" w:type="dxa"/>
            <w:tcBorders/>
            <w:shd w:color="auto" w:fill="auto" w:val="clear"/>
            <w:vAlign w:val="bottom"/>
          </w:tcPr>
          <w:p>
            <w:pPr>
              <w:pStyle w:val="Normal"/>
              <w:widowControl w:val="false"/>
              <w:rPr>
                <w:sz w:val="20"/>
                <w:szCs w:val="20"/>
              </w:rPr>
            </w:pPr>
            <w:r>
              <w:rPr>
                <w:sz w:val="20"/>
                <w:szCs w:val="20"/>
              </w:rPr>
            </w:r>
          </w:p>
        </w:tc>
        <w:tc>
          <w:tcPr>
            <w:tcW w:w="1514"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r>
      <w:tr>
        <w:trPr>
          <w:trHeight w:val="180" w:hRule="atLeast"/>
        </w:trPr>
        <w:tc>
          <w:tcPr>
            <w:tcW w:w="1006" w:type="dxa"/>
            <w:tcBorders>
              <w:left w:val="single" w:sz="4" w:space="0" w:color="000000"/>
            </w:tcBorders>
            <w:shd w:color="auto" w:fill="auto" w:val="clear"/>
            <w:vAlign w:val="bottom"/>
          </w:tcPr>
          <w:p>
            <w:pPr>
              <w:pStyle w:val="Normal"/>
              <w:widowControl w:val="false"/>
              <w:jc w:val="center"/>
              <w:rPr>
                <w:rFonts w:ascii="MS SANS" w:hAnsi="MS SANS" w:cs="Calibri"/>
                <w:sz w:val="14"/>
                <w:szCs w:val="14"/>
              </w:rPr>
            </w:pPr>
            <w:r>
              <w:rPr>
                <w:rFonts w:cs="Calibri" w:ascii="MS SANS" w:hAnsi="MS SANS"/>
                <w:sz w:val="14"/>
                <w:szCs w:val="14"/>
              </w:rPr>
              <w:t>161/21201</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PAES SERVEI AIGUA POTABLE</w:t>
            </w:r>
          </w:p>
        </w:tc>
        <w:tc>
          <w:tcPr>
            <w:tcW w:w="1147" w:type="dxa"/>
            <w:tcBorders>
              <w:left w:val="single" w:sz="4" w:space="0" w:color="000000"/>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48.402,29</w:t>
            </w:r>
          </w:p>
        </w:tc>
        <w:tc>
          <w:tcPr>
            <w:tcW w:w="1135" w:type="dxa"/>
            <w:tcBorders>
              <w:lef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c>
          <w:tcPr>
            <w:tcW w:w="1133" w:type="dxa"/>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48.402,29</w:t>
            </w:r>
          </w:p>
        </w:tc>
        <w:tc>
          <w:tcPr>
            <w:tcW w:w="1514" w:type="dxa"/>
            <w:tcBorders>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r>
      <w:tr>
        <w:trPr>
          <w:trHeight w:val="180" w:hRule="atLeast"/>
        </w:trPr>
        <w:tc>
          <w:tcPr>
            <w:tcW w:w="1006" w:type="dxa"/>
            <w:tcBorders>
              <w:lef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r>
          </w:p>
        </w:tc>
        <w:tc>
          <w:tcPr>
            <w:tcW w:w="1147" w:type="dxa"/>
            <w:tcBorders>
              <w:left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tc>
        <w:tc>
          <w:tcPr>
            <w:tcW w:w="1135" w:type="dxa"/>
            <w:tcBorders>
              <w:left w:val="single" w:sz="4" w:space="0" w:color="000000"/>
            </w:tcBorders>
            <w:shd w:color="auto" w:fill="auto" w:val="clear"/>
            <w:vAlign w:val="bottom"/>
          </w:tcPr>
          <w:p>
            <w:pPr>
              <w:pStyle w:val="Normal"/>
              <w:widowControl w:val="false"/>
              <w:rPr>
                <w:sz w:val="20"/>
                <w:szCs w:val="20"/>
              </w:rPr>
            </w:pPr>
            <w:r>
              <w:rPr>
                <w:sz w:val="20"/>
                <w:szCs w:val="20"/>
              </w:rPr>
            </w:r>
          </w:p>
        </w:tc>
        <w:tc>
          <w:tcPr>
            <w:tcW w:w="1133" w:type="dxa"/>
            <w:tcBorders/>
            <w:shd w:color="auto" w:fill="auto" w:val="clear"/>
            <w:vAlign w:val="bottom"/>
          </w:tcPr>
          <w:p>
            <w:pPr>
              <w:pStyle w:val="Normal"/>
              <w:widowControl w:val="false"/>
              <w:rPr>
                <w:sz w:val="20"/>
                <w:szCs w:val="20"/>
              </w:rPr>
            </w:pPr>
            <w:r>
              <w:rPr>
                <w:sz w:val="20"/>
                <w:szCs w:val="20"/>
              </w:rPr>
            </w:r>
          </w:p>
        </w:tc>
        <w:tc>
          <w:tcPr>
            <w:tcW w:w="1514"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r>
      <w:tr>
        <w:trPr>
          <w:trHeight w:val="180" w:hRule="atLeast"/>
        </w:trPr>
        <w:tc>
          <w:tcPr>
            <w:tcW w:w="1006" w:type="dxa"/>
            <w:tcBorders>
              <w:left w:val="single" w:sz="4" w:space="0" w:color="000000"/>
            </w:tcBorders>
            <w:shd w:color="auto" w:fill="auto" w:val="clear"/>
            <w:vAlign w:val="bottom"/>
          </w:tcPr>
          <w:p>
            <w:pPr>
              <w:pStyle w:val="Normal"/>
              <w:widowControl w:val="false"/>
              <w:jc w:val="center"/>
              <w:rPr>
                <w:rFonts w:ascii="MS SANS" w:hAnsi="MS SANS" w:cs="Calibri"/>
                <w:sz w:val="14"/>
                <w:szCs w:val="14"/>
              </w:rPr>
            </w:pPr>
            <w:r>
              <w:rPr>
                <w:rFonts w:cs="Calibri" w:ascii="MS SANS" w:hAnsi="MS SANS"/>
                <w:sz w:val="14"/>
                <w:szCs w:val="14"/>
              </w:rPr>
              <w:t>161/22799</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PAES ALT.TREB.TEC.XARXA AIGUES</w:t>
            </w:r>
          </w:p>
        </w:tc>
        <w:tc>
          <w:tcPr>
            <w:tcW w:w="1147" w:type="dxa"/>
            <w:tcBorders>
              <w:left w:val="single" w:sz="4" w:space="0" w:color="000000"/>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9.500,00</w:t>
            </w:r>
          </w:p>
        </w:tc>
        <w:tc>
          <w:tcPr>
            <w:tcW w:w="1135" w:type="dxa"/>
            <w:tcBorders>
              <w:lef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c>
          <w:tcPr>
            <w:tcW w:w="1133" w:type="dxa"/>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9.500,00</w:t>
            </w:r>
          </w:p>
        </w:tc>
        <w:tc>
          <w:tcPr>
            <w:tcW w:w="1514" w:type="dxa"/>
            <w:tcBorders>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r>
      <w:tr>
        <w:trPr>
          <w:trHeight w:val="180" w:hRule="atLeast"/>
        </w:trPr>
        <w:tc>
          <w:tcPr>
            <w:tcW w:w="1006" w:type="dxa"/>
            <w:tcBorders>
              <w:lef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r>
          </w:p>
        </w:tc>
        <w:tc>
          <w:tcPr>
            <w:tcW w:w="1147" w:type="dxa"/>
            <w:tcBorders>
              <w:left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tc>
        <w:tc>
          <w:tcPr>
            <w:tcW w:w="1135" w:type="dxa"/>
            <w:tcBorders>
              <w:left w:val="single" w:sz="4" w:space="0" w:color="000000"/>
            </w:tcBorders>
            <w:shd w:color="auto" w:fill="auto" w:val="clear"/>
            <w:vAlign w:val="bottom"/>
          </w:tcPr>
          <w:p>
            <w:pPr>
              <w:pStyle w:val="Normal"/>
              <w:widowControl w:val="false"/>
              <w:rPr>
                <w:sz w:val="20"/>
                <w:szCs w:val="20"/>
              </w:rPr>
            </w:pPr>
            <w:r>
              <w:rPr>
                <w:sz w:val="20"/>
                <w:szCs w:val="20"/>
              </w:rPr>
            </w:r>
          </w:p>
        </w:tc>
        <w:tc>
          <w:tcPr>
            <w:tcW w:w="1133" w:type="dxa"/>
            <w:tcBorders/>
            <w:shd w:color="auto" w:fill="auto" w:val="clear"/>
            <w:vAlign w:val="bottom"/>
          </w:tcPr>
          <w:p>
            <w:pPr>
              <w:pStyle w:val="Normal"/>
              <w:widowControl w:val="false"/>
              <w:rPr>
                <w:sz w:val="20"/>
                <w:szCs w:val="20"/>
              </w:rPr>
            </w:pPr>
            <w:r>
              <w:rPr>
                <w:sz w:val="20"/>
                <w:szCs w:val="20"/>
              </w:rPr>
            </w:r>
          </w:p>
        </w:tc>
        <w:tc>
          <w:tcPr>
            <w:tcW w:w="1514"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r>
      <w:tr>
        <w:trPr>
          <w:trHeight w:val="180" w:hRule="atLeast"/>
        </w:trPr>
        <w:tc>
          <w:tcPr>
            <w:tcW w:w="1006" w:type="dxa"/>
            <w:tcBorders>
              <w:left w:val="single" w:sz="4" w:space="0" w:color="000000"/>
            </w:tcBorders>
            <w:shd w:color="auto" w:fill="auto" w:val="clear"/>
            <w:vAlign w:val="bottom"/>
          </w:tcPr>
          <w:p>
            <w:pPr>
              <w:pStyle w:val="Normal"/>
              <w:widowControl w:val="false"/>
              <w:jc w:val="center"/>
              <w:rPr>
                <w:rFonts w:ascii="MS SANS" w:hAnsi="MS SANS" w:cs="Calibri"/>
                <w:sz w:val="14"/>
                <w:szCs w:val="14"/>
              </w:rPr>
            </w:pPr>
            <w:r>
              <w:rPr>
                <w:rFonts w:cs="Calibri" w:ascii="MS SANS" w:hAnsi="MS SANS"/>
                <w:sz w:val="14"/>
                <w:szCs w:val="14"/>
              </w:rPr>
              <w:t>162/22706</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PAES CAMPANYA SENSIB.RESIDUS</w:t>
            </w:r>
          </w:p>
        </w:tc>
        <w:tc>
          <w:tcPr>
            <w:tcW w:w="1147" w:type="dxa"/>
            <w:tcBorders>
              <w:left w:val="single" w:sz="4" w:space="0" w:color="000000"/>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6.816,00</w:t>
            </w:r>
          </w:p>
        </w:tc>
        <w:tc>
          <w:tcPr>
            <w:tcW w:w="1135" w:type="dxa"/>
            <w:tcBorders>
              <w:lef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c>
          <w:tcPr>
            <w:tcW w:w="1133" w:type="dxa"/>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6.816,00</w:t>
            </w:r>
          </w:p>
        </w:tc>
        <w:tc>
          <w:tcPr>
            <w:tcW w:w="1514" w:type="dxa"/>
            <w:tcBorders>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r>
      <w:tr>
        <w:trPr>
          <w:trHeight w:val="180" w:hRule="atLeast"/>
        </w:trPr>
        <w:tc>
          <w:tcPr>
            <w:tcW w:w="1006" w:type="dxa"/>
            <w:tcBorders>
              <w:lef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r>
          </w:p>
        </w:tc>
        <w:tc>
          <w:tcPr>
            <w:tcW w:w="1147" w:type="dxa"/>
            <w:tcBorders>
              <w:left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tc>
        <w:tc>
          <w:tcPr>
            <w:tcW w:w="1135" w:type="dxa"/>
            <w:tcBorders>
              <w:left w:val="single" w:sz="4" w:space="0" w:color="000000"/>
            </w:tcBorders>
            <w:shd w:color="auto" w:fill="auto" w:val="clear"/>
            <w:vAlign w:val="bottom"/>
          </w:tcPr>
          <w:p>
            <w:pPr>
              <w:pStyle w:val="Normal"/>
              <w:widowControl w:val="false"/>
              <w:rPr>
                <w:sz w:val="20"/>
                <w:szCs w:val="20"/>
              </w:rPr>
            </w:pPr>
            <w:r>
              <w:rPr>
                <w:sz w:val="20"/>
                <w:szCs w:val="20"/>
              </w:rPr>
            </w:r>
          </w:p>
        </w:tc>
        <w:tc>
          <w:tcPr>
            <w:tcW w:w="1133" w:type="dxa"/>
            <w:tcBorders/>
            <w:shd w:color="auto" w:fill="auto" w:val="clear"/>
            <w:vAlign w:val="bottom"/>
          </w:tcPr>
          <w:p>
            <w:pPr>
              <w:pStyle w:val="Normal"/>
              <w:widowControl w:val="false"/>
              <w:rPr>
                <w:sz w:val="20"/>
                <w:szCs w:val="20"/>
              </w:rPr>
            </w:pPr>
            <w:r>
              <w:rPr>
                <w:sz w:val="20"/>
                <w:szCs w:val="20"/>
              </w:rPr>
            </w:r>
          </w:p>
        </w:tc>
        <w:tc>
          <w:tcPr>
            <w:tcW w:w="1514"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r>
      <w:tr>
        <w:trPr>
          <w:trHeight w:val="180" w:hRule="atLeast"/>
        </w:trPr>
        <w:tc>
          <w:tcPr>
            <w:tcW w:w="1006" w:type="dxa"/>
            <w:tcBorders>
              <w:left w:val="single" w:sz="4" w:space="0" w:color="000000"/>
            </w:tcBorders>
            <w:shd w:color="auto" w:fill="auto" w:val="clear"/>
            <w:vAlign w:val="bottom"/>
          </w:tcPr>
          <w:p>
            <w:pPr>
              <w:pStyle w:val="Normal"/>
              <w:widowControl w:val="false"/>
              <w:jc w:val="center"/>
              <w:rPr>
                <w:rFonts w:ascii="MS SANS" w:hAnsi="MS SANS" w:cs="Calibri"/>
                <w:sz w:val="14"/>
                <w:szCs w:val="14"/>
              </w:rPr>
            </w:pPr>
            <w:r>
              <w:rPr>
                <w:rFonts w:cs="Calibri" w:ascii="MS SANS" w:hAnsi="MS SANS"/>
                <w:sz w:val="14"/>
                <w:szCs w:val="14"/>
              </w:rPr>
              <w:t>920/13100</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SOIB REACTIVA 2022</w:t>
            </w:r>
          </w:p>
        </w:tc>
        <w:tc>
          <w:tcPr>
            <w:tcW w:w="1147" w:type="dxa"/>
            <w:tcBorders>
              <w:left w:val="single" w:sz="4" w:space="0" w:color="000000"/>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52.020,57</w:t>
            </w:r>
          </w:p>
        </w:tc>
        <w:tc>
          <w:tcPr>
            <w:tcW w:w="1135" w:type="dxa"/>
            <w:tcBorders>
              <w:lef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c>
          <w:tcPr>
            <w:tcW w:w="1133" w:type="dxa"/>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52.020,57</w:t>
            </w:r>
          </w:p>
        </w:tc>
        <w:tc>
          <w:tcPr>
            <w:tcW w:w="1514" w:type="dxa"/>
            <w:tcBorders>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r>
      <w:tr>
        <w:trPr>
          <w:trHeight w:val="180" w:hRule="atLeast"/>
        </w:trPr>
        <w:tc>
          <w:tcPr>
            <w:tcW w:w="1006" w:type="dxa"/>
            <w:tcBorders>
              <w:lef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r>
          </w:p>
        </w:tc>
        <w:tc>
          <w:tcPr>
            <w:tcW w:w="1147" w:type="dxa"/>
            <w:tcBorders>
              <w:left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tc>
        <w:tc>
          <w:tcPr>
            <w:tcW w:w="1135" w:type="dxa"/>
            <w:tcBorders>
              <w:left w:val="single" w:sz="4" w:space="0" w:color="000000"/>
            </w:tcBorders>
            <w:shd w:color="auto" w:fill="auto" w:val="clear"/>
            <w:vAlign w:val="bottom"/>
          </w:tcPr>
          <w:p>
            <w:pPr>
              <w:pStyle w:val="Normal"/>
              <w:widowControl w:val="false"/>
              <w:rPr>
                <w:sz w:val="20"/>
                <w:szCs w:val="20"/>
              </w:rPr>
            </w:pPr>
            <w:r>
              <w:rPr>
                <w:sz w:val="20"/>
                <w:szCs w:val="20"/>
              </w:rPr>
            </w:r>
          </w:p>
        </w:tc>
        <w:tc>
          <w:tcPr>
            <w:tcW w:w="1133" w:type="dxa"/>
            <w:tcBorders/>
            <w:shd w:color="auto" w:fill="auto" w:val="clear"/>
            <w:vAlign w:val="bottom"/>
          </w:tcPr>
          <w:p>
            <w:pPr>
              <w:pStyle w:val="Normal"/>
              <w:widowControl w:val="false"/>
              <w:rPr>
                <w:sz w:val="20"/>
                <w:szCs w:val="20"/>
              </w:rPr>
            </w:pPr>
            <w:r>
              <w:rPr>
                <w:sz w:val="20"/>
                <w:szCs w:val="20"/>
              </w:rPr>
            </w:r>
          </w:p>
        </w:tc>
        <w:tc>
          <w:tcPr>
            <w:tcW w:w="1514"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r>
      <w:tr>
        <w:trPr>
          <w:trHeight w:val="180" w:hRule="atLeast"/>
        </w:trPr>
        <w:tc>
          <w:tcPr>
            <w:tcW w:w="1006" w:type="dxa"/>
            <w:tcBorders>
              <w:left w:val="single" w:sz="4" w:space="0" w:color="000000"/>
            </w:tcBorders>
            <w:shd w:color="auto" w:fill="auto" w:val="clear"/>
            <w:vAlign w:val="bottom"/>
          </w:tcPr>
          <w:p>
            <w:pPr>
              <w:pStyle w:val="Normal"/>
              <w:widowControl w:val="false"/>
              <w:jc w:val="center"/>
              <w:rPr>
                <w:rFonts w:ascii="MS SANS" w:hAnsi="MS SANS" w:cs="Calibri"/>
                <w:sz w:val="14"/>
                <w:szCs w:val="14"/>
              </w:rPr>
            </w:pPr>
            <w:r>
              <w:rPr>
                <w:rFonts w:cs="Calibri" w:ascii="MS SANS" w:hAnsi="MS SANS"/>
                <w:sz w:val="14"/>
                <w:szCs w:val="14"/>
              </w:rPr>
              <w:t>920/13101</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SOIB JOVES QUALIFICATS 2022</w:t>
            </w:r>
          </w:p>
        </w:tc>
        <w:tc>
          <w:tcPr>
            <w:tcW w:w="1147" w:type="dxa"/>
            <w:tcBorders>
              <w:left w:val="single" w:sz="4" w:space="0" w:color="000000"/>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22.407,81</w:t>
            </w:r>
          </w:p>
        </w:tc>
        <w:tc>
          <w:tcPr>
            <w:tcW w:w="1135" w:type="dxa"/>
            <w:tcBorders>
              <w:lef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c>
          <w:tcPr>
            <w:tcW w:w="1133" w:type="dxa"/>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22.407,81</w:t>
            </w:r>
          </w:p>
        </w:tc>
        <w:tc>
          <w:tcPr>
            <w:tcW w:w="1514" w:type="dxa"/>
            <w:tcBorders>
              <w:right w:val="single" w:sz="4" w:space="0" w:color="000000"/>
            </w:tcBorders>
            <w:shd w:color="auto" w:fill="auto" w:val="clear"/>
            <w:vAlign w:val="bottom"/>
          </w:tcPr>
          <w:p>
            <w:pPr>
              <w:pStyle w:val="Normal"/>
              <w:widowControl w:val="false"/>
              <w:jc w:val="right"/>
              <w:rPr>
                <w:rFonts w:ascii="MS SANS" w:hAnsi="MS SANS" w:cs="Calibri"/>
                <w:sz w:val="14"/>
                <w:szCs w:val="14"/>
              </w:rPr>
            </w:pPr>
            <w:r>
              <w:rPr>
                <w:rFonts w:cs="Calibri" w:ascii="MS SANS" w:hAnsi="MS SANS"/>
                <w:sz w:val="14"/>
                <w:szCs w:val="14"/>
              </w:rPr>
              <w:t>0,00</w:t>
            </w:r>
          </w:p>
        </w:tc>
      </w:tr>
      <w:tr>
        <w:trPr>
          <w:trHeight w:val="195" w:hRule="atLeast"/>
        </w:trPr>
        <w:tc>
          <w:tcPr>
            <w:tcW w:w="1006" w:type="dxa"/>
            <w:tcBorders>
              <w:lef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c>
          <w:tcPr>
            <w:tcW w:w="2372"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r>
          </w:p>
        </w:tc>
        <w:tc>
          <w:tcPr>
            <w:tcW w:w="1147" w:type="dxa"/>
            <w:tcBorders>
              <w:left w:val="single" w:sz="4" w:space="0" w:color="000000"/>
              <w:right w:val="single" w:sz="4" w:space="0" w:color="000000"/>
            </w:tcBorders>
            <w:shd w:color="auto" w:fill="auto" w:val="clear"/>
            <w:vAlign w:val="bottom"/>
          </w:tcPr>
          <w:p>
            <w:pPr>
              <w:pStyle w:val="Normal"/>
              <w:widowControl w:val="false"/>
              <w:rPr>
                <w:sz w:val="20"/>
                <w:szCs w:val="20"/>
              </w:rPr>
            </w:pPr>
            <w:r>
              <w:rPr>
                <w:sz w:val="20"/>
                <w:szCs w:val="20"/>
              </w:rPr>
            </w:r>
          </w:p>
        </w:tc>
        <w:tc>
          <w:tcPr>
            <w:tcW w:w="1135" w:type="dxa"/>
            <w:tcBorders>
              <w:left w:val="single" w:sz="4" w:space="0" w:color="000000"/>
            </w:tcBorders>
            <w:shd w:color="auto" w:fill="auto" w:val="clear"/>
            <w:vAlign w:val="bottom"/>
          </w:tcPr>
          <w:p>
            <w:pPr>
              <w:pStyle w:val="Normal"/>
              <w:widowControl w:val="false"/>
              <w:rPr>
                <w:sz w:val="20"/>
                <w:szCs w:val="20"/>
              </w:rPr>
            </w:pPr>
            <w:r>
              <w:rPr>
                <w:sz w:val="20"/>
                <w:szCs w:val="20"/>
              </w:rPr>
            </w:r>
          </w:p>
        </w:tc>
        <w:tc>
          <w:tcPr>
            <w:tcW w:w="1133" w:type="dxa"/>
            <w:tcBorders/>
            <w:shd w:color="auto" w:fill="auto" w:val="clear"/>
            <w:vAlign w:val="bottom"/>
          </w:tcPr>
          <w:p>
            <w:pPr>
              <w:pStyle w:val="Normal"/>
              <w:widowControl w:val="false"/>
              <w:rPr>
                <w:sz w:val="20"/>
                <w:szCs w:val="20"/>
              </w:rPr>
            </w:pPr>
            <w:r>
              <w:rPr>
                <w:sz w:val="20"/>
                <w:szCs w:val="20"/>
              </w:rPr>
            </w:r>
          </w:p>
        </w:tc>
        <w:tc>
          <w:tcPr>
            <w:tcW w:w="1514" w:type="dxa"/>
            <w:tcBorders>
              <w:right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r>
      <w:tr>
        <w:trPr>
          <w:trHeight w:val="285" w:hRule="atLeast"/>
        </w:trPr>
        <w:tc>
          <w:tcPr>
            <w:tcW w:w="1006" w:type="dxa"/>
            <w:tcBorders>
              <w:left w:val="single" w:sz="4" w:space="0" w:color="000000"/>
              <w:bottom w:val="single" w:sz="4" w:space="0" w:color="000000"/>
            </w:tcBorders>
            <w:shd w:color="auto" w:fill="auto" w:val="clear"/>
            <w:vAlign w:val="bottom"/>
          </w:tcPr>
          <w:p>
            <w:pPr>
              <w:pStyle w:val="Normal"/>
              <w:widowControl w:val="false"/>
              <w:rPr>
                <w:rFonts w:ascii="MS SANS" w:hAnsi="MS SANS" w:cs="Calibri"/>
                <w:sz w:val="14"/>
                <w:szCs w:val="14"/>
              </w:rPr>
            </w:pPr>
            <w:r>
              <w:rPr>
                <w:rFonts w:cs="Calibri" w:ascii="MS SANS" w:hAnsi="MS SANS"/>
                <w:sz w:val="14"/>
                <w:szCs w:val="14"/>
              </w:rPr>
              <w:t> </w:t>
            </w:r>
          </w:p>
        </w:tc>
        <w:tc>
          <w:tcPr>
            <w:tcW w:w="2372" w:type="dxa"/>
            <w:tcBorders>
              <w:top w:val="single" w:sz="8" w:space="0" w:color="000000"/>
              <w:left w:val="single" w:sz="8" w:space="0" w:color="000000"/>
              <w:bottom w:val="single" w:sz="4" w:space="0" w:color="000000"/>
              <w:right w:val="single" w:sz="4" w:space="0" w:color="000000"/>
            </w:tcBorders>
            <w:shd w:color="000000" w:fill="F2F2F2" w:val="clear"/>
            <w:vAlign w:val="bottom"/>
          </w:tcPr>
          <w:p>
            <w:pPr>
              <w:pStyle w:val="Normal"/>
              <w:widowControl w:val="false"/>
              <w:rPr>
                <w:rFonts w:ascii="MS SANS" w:hAnsi="MS SANS" w:cs="Calibri"/>
                <w:sz w:val="22"/>
                <w:szCs w:val="22"/>
              </w:rPr>
            </w:pPr>
            <w:r>
              <w:rPr>
                <w:rFonts w:cs="Calibri" w:ascii="MS SANS" w:hAnsi="MS SANS"/>
                <w:sz w:val="22"/>
                <w:szCs w:val="22"/>
              </w:rPr>
              <w:t>TOTAL</w:t>
            </w:r>
          </w:p>
        </w:tc>
        <w:tc>
          <w:tcPr>
            <w:tcW w:w="1147" w:type="dxa"/>
            <w:tcBorders>
              <w:top w:val="single" w:sz="8" w:space="0" w:color="000000"/>
              <w:left w:val="single" w:sz="4" w:space="0" w:color="000000"/>
              <w:bottom w:val="single" w:sz="4" w:space="0" w:color="000000"/>
              <w:right w:val="single" w:sz="4" w:space="0" w:color="000000"/>
            </w:tcBorders>
            <w:shd w:color="000000" w:fill="F2F2F2" w:val="clear"/>
            <w:vAlign w:val="bottom"/>
          </w:tcPr>
          <w:p>
            <w:pPr>
              <w:pStyle w:val="Normal"/>
              <w:widowControl w:val="false"/>
              <w:jc w:val="right"/>
              <w:rPr>
                <w:rFonts w:ascii="MS SANS" w:hAnsi="MS SANS" w:cs="Calibri"/>
                <w:b/>
                <w:b/>
                <w:bCs/>
                <w:sz w:val="18"/>
                <w:szCs w:val="18"/>
              </w:rPr>
            </w:pPr>
            <w:r>
              <w:rPr>
                <w:rFonts w:cs="Calibri" w:ascii="MS SANS" w:hAnsi="MS SANS"/>
                <w:b/>
                <w:bCs/>
                <w:sz w:val="18"/>
                <w:szCs w:val="18"/>
              </w:rPr>
              <w:t>707.646,81</w:t>
            </w:r>
          </w:p>
        </w:tc>
        <w:tc>
          <w:tcPr>
            <w:tcW w:w="1135" w:type="dxa"/>
            <w:tcBorders>
              <w:top w:val="single" w:sz="8" w:space="0" w:color="000000"/>
              <w:left w:val="single" w:sz="4" w:space="0" w:color="000000"/>
              <w:bottom w:val="single" w:sz="4" w:space="0" w:color="000000"/>
            </w:tcBorders>
            <w:shd w:color="000000" w:fill="F2F2F2" w:val="clear"/>
            <w:vAlign w:val="bottom"/>
          </w:tcPr>
          <w:p>
            <w:pPr>
              <w:pStyle w:val="Normal"/>
              <w:widowControl w:val="false"/>
              <w:jc w:val="right"/>
              <w:rPr>
                <w:rFonts w:ascii="MS SANS" w:hAnsi="MS SANS" w:cs="Calibri"/>
                <w:b/>
                <w:b/>
                <w:bCs/>
                <w:sz w:val="18"/>
                <w:szCs w:val="18"/>
              </w:rPr>
            </w:pPr>
            <w:r>
              <w:rPr>
                <w:rFonts w:cs="Calibri" w:ascii="MS SANS" w:hAnsi="MS SANS"/>
                <w:b/>
                <w:bCs/>
                <w:sz w:val="18"/>
                <w:szCs w:val="18"/>
              </w:rPr>
              <w:t>144.360,14</w:t>
            </w:r>
          </w:p>
        </w:tc>
        <w:tc>
          <w:tcPr>
            <w:tcW w:w="1133" w:type="dxa"/>
            <w:tcBorders>
              <w:top w:val="single" w:sz="8" w:space="0" w:color="000000"/>
              <w:bottom w:val="single" w:sz="4" w:space="0" w:color="000000"/>
            </w:tcBorders>
            <w:shd w:color="000000" w:fill="F2F2F2" w:val="clear"/>
            <w:vAlign w:val="bottom"/>
          </w:tcPr>
          <w:p>
            <w:pPr>
              <w:pStyle w:val="Normal"/>
              <w:widowControl w:val="false"/>
              <w:jc w:val="right"/>
              <w:rPr>
                <w:rFonts w:ascii="MS SANS" w:hAnsi="MS SANS" w:cs="Calibri"/>
                <w:b/>
                <w:b/>
                <w:bCs/>
                <w:sz w:val="18"/>
                <w:szCs w:val="18"/>
              </w:rPr>
            </w:pPr>
            <w:r>
              <w:rPr>
                <w:rFonts w:cs="Calibri" w:ascii="MS SANS" w:hAnsi="MS SANS"/>
                <w:b/>
                <w:bCs/>
                <w:sz w:val="18"/>
                <w:szCs w:val="18"/>
              </w:rPr>
              <w:t>230.286,67</w:t>
            </w:r>
          </w:p>
        </w:tc>
        <w:tc>
          <w:tcPr>
            <w:tcW w:w="1514" w:type="dxa"/>
            <w:tcBorders>
              <w:top w:val="single" w:sz="8" w:space="0" w:color="000000"/>
              <w:bottom w:val="single" w:sz="4" w:space="0" w:color="000000"/>
              <w:right w:val="single" w:sz="4" w:space="0" w:color="000000"/>
            </w:tcBorders>
            <w:shd w:color="000000" w:fill="F2F2F2" w:val="clear"/>
            <w:vAlign w:val="bottom"/>
          </w:tcPr>
          <w:p>
            <w:pPr>
              <w:pStyle w:val="Normal"/>
              <w:widowControl w:val="false"/>
              <w:jc w:val="right"/>
              <w:rPr>
                <w:rFonts w:ascii="MS SANS" w:hAnsi="MS SANS" w:cs="Calibri"/>
                <w:b/>
                <w:b/>
                <w:bCs/>
                <w:sz w:val="18"/>
                <w:szCs w:val="18"/>
              </w:rPr>
            </w:pPr>
            <w:r>
              <w:rPr>
                <w:rFonts w:cs="Calibri" w:ascii="MS SANS" w:hAnsi="MS SANS"/>
                <w:b/>
                <w:bCs/>
                <w:sz w:val="18"/>
                <w:szCs w:val="18"/>
              </w:rPr>
              <w:t>333.000,00</w:t>
            </w:r>
          </w:p>
        </w:tc>
      </w:tr>
    </w:tbl>
    <w:p>
      <w:pPr>
        <w:pStyle w:val="PlainText"/>
        <w:ind w:left="708" w:hanging="0"/>
        <w:jc w:val="both"/>
        <w:rPr>
          <w:rFonts w:ascii="Calibri" w:hAnsi="Calibri" w:cs="Calibri"/>
          <w:sz w:val="22"/>
          <w:szCs w:val="22"/>
          <w:highlight w:val="yellow"/>
        </w:rPr>
      </w:pPr>
      <w:r>
        <w:rPr>
          <w:rFonts w:cs="Calibri" w:ascii="Calibri" w:hAnsi="Calibri"/>
          <w:sz w:val="22"/>
          <w:szCs w:val="22"/>
          <w:highlight w:val="yellow"/>
        </w:rPr>
      </w:r>
    </w:p>
    <w:p>
      <w:pPr>
        <w:pStyle w:val="PlainText"/>
        <w:ind w:left="708" w:hanging="0"/>
        <w:jc w:val="both"/>
        <w:rPr>
          <w:rFonts w:ascii="Calibri" w:hAnsi="Calibri" w:cs="Calibri"/>
          <w:sz w:val="22"/>
          <w:szCs w:val="22"/>
          <w:highlight w:val="yellow"/>
        </w:rPr>
      </w:pPr>
      <w:r>
        <w:rPr>
          <w:rFonts w:cs="Calibri" w:ascii="Calibri" w:hAnsi="Calibri"/>
          <w:sz w:val="22"/>
          <w:szCs w:val="22"/>
          <w:highlight w:val="yellow"/>
        </w:rPr>
      </w:r>
    </w:p>
    <w:p>
      <w:pPr>
        <w:pStyle w:val="PlainText"/>
        <w:ind w:left="708" w:hanging="0"/>
        <w:jc w:val="both"/>
        <w:rPr>
          <w:rFonts w:ascii="Calibri" w:hAnsi="Calibri" w:cs="Calibri"/>
          <w:sz w:val="22"/>
          <w:szCs w:val="22"/>
          <w:highlight w:val="yellow"/>
        </w:rPr>
      </w:pPr>
      <w:r>
        <w:rPr>
          <w:rFonts w:cs="Calibri" w:ascii="Calibri" w:hAnsi="Calibri"/>
          <w:sz w:val="22"/>
          <w:szCs w:val="22"/>
          <w:highlight w:val="yellow"/>
        </w:rPr>
      </w:r>
    </w:p>
    <w:p>
      <w:pPr>
        <w:pStyle w:val="PlainText"/>
        <w:ind w:left="708" w:hanging="0"/>
        <w:jc w:val="both"/>
        <w:rPr>
          <w:rFonts w:ascii="Calibri" w:hAnsi="Calibri" w:cs="Calibri"/>
          <w:sz w:val="22"/>
          <w:szCs w:val="22"/>
          <w:highlight w:val="yellow"/>
        </w:rPr>
      </w:pPr>
      <w:r>
        <w:rPr>
          <w:rFonts w:cs="Calibri" w:ascii="Calibri" w:hAnsi="Calibri"/>
          <w:sz w:val="22"/>
          <w:szCs w:val="22"/>
          <w:highlight w:val="yellow"/>
        </w:rPr>
      </w:r>
    </w:p>
    <w:p>
      <w:pPr>
        <w:pStyle w:val="PlainText"/>
        <w:ind w:firstLine="708"/>
        <w:jc w:val="both"/>
        <w:rPr>
          <w:rFonts w:ascii="Calibri" w:hAnsi="Calibri" w:cs="Calibri"/>
          <w:sz w:val="22"/>
          <w:szCs w:val="22"/>
        </w:rPr>
      </w:pPr>
      <w:r>
        <w:rPr>
          <w:rFonts w:cs="Calibri" w:ascii="Calibri" w:hAnsi="Calibri"/>
          <w:sz w:val="22"/>
          <w:szCs w:val="22"/>
        </w:rPr>
        <w:t>A part del romanent afectat utilitzat en la incorporació de romanents de crèdit a l’exercici 2022, hi ha el següent import afectat:</w:t>
      </w:r>
    </w:p>
    <w:p>
      <w:pPr>
        <w:pStyle w:val="PlainText"/>
        <w:ind w:firstLine="708"/>
        <w:jc w:val="both"/>
        <w:rPr>
          <w:rFonts w:ascii="Calibri" w:hAnsi="Calibri" w:cs="Calibri"/>
          <w:sz w:val="22"/>
          <w:szCs w:val="22"/>
        </w:rPr>
      </w:pPr>
      <w:r>
        <w:rPr>
          <w:rFonts w:cs="Calibri" w:ascii="Calibri" w:hAnsi="Calibri"/>
          <w:sz w:val="22"/>
          <w:szCs w:val="22"/>
        </w:rPr>
      </w:r>
    </w:p>
    <w:tbl>
      <w:tblPr>
        <w:tblStyle w:val="Tablaconcuadrcula"/>
        <w:tblW w:w="835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12"/>
        <w:gridCol w:w="4982"/>
        <w:gridCol w:w="1965"/>
      </w:tblGrid>
      <w:tr>
        <w:trPr/>
        <w:tc>
          <w:tcPr>
            <w:tcW w:w="1412" w:type="dxa"/>
            <w:tcBorders/>
          </w:tcPr>
          <w:p>
            <w:pPr>
              <w:pStyle w:val="PlainText"/>
              <w:widowControl/>
              <w:spacing w:before="0" w:after="0"/>
              <w:jc w:val="center"/>
              <w:rPr>
                <w:rFonts w:ascii="Calibri" w:hAnsi="Calibri" w:cs="Calibri"/>
                <w:b/>
                <w:b/>
                <w:bCs/>
                <w:sz w:val="22"/>
                <w:szCs w:val="22"/>
              </w:rPr>
            </w:pPr>
            <w:r>
              <w:rPr>
                <w:rFonts w:eastAsia="Times New Roman" w:cs="Calibri" w:ascii="Calibri" w:hAnsi="Calibri"/>
                <w:b/>
                <w:bCs/>
                <w:kern w:val="0"/>
                <w:sz w:val="22"/>
                <w:szCs w:val="22"/>
                <w:lang w:val="ca-ES" w:bidi="ar-SA"/>
              </w:rPr>
              <w:t>PROJECTE</w:t>
            </w:r>
          </w:p>
        </w:tc>
        <w:tc>
          <w:tcPr>
            <w:tcW w:w="4982" w:type="dxa"/>
            <w:tcBorders/>
          </w:tcPr>
          <w:p>
            <w:pPr>
              <w:pStyle w:val="PlainText"/>
              <w:widowControl/>
              <w:spacing w:before="0" w:after="0"/>
              <w:jc w:val="center"/>
              <w:rPr>
                <w:rFonts w:ascii="Calibri" w:hAnsi="Calibri" w:cs="Calibri"/>
                <w:b/>
                <w:b/>
                <w:bCs/>
                <w:sz w:val="22"/>
                <w:szCs w:val="22"/>
              </w:rPr>
            </w:pPr>
            <w:r>
              <w:rPr>
                <w:rFonts w:eastAsia="Times New Roman" w:cs="Calibri" w:ascii="Calibri" w:hAnsi="Calibri"/>
                <w:b/>
                <w:bCs/>
                <w:kern w:val="0"/>
                <w:sz w:val="22"/>
                <w:szCs w:val="22"/>
                <w:lang w:val="ca-ES" w:bidi="ar-SA"/>
              </w:rPr>
              <w:t>DENOMINACIO</w:t>
            </w:r>
          </w:p>
        </w:tc>
        <w:tc>
          <w:tcPr>
            <w:tcW w:w="1965" w:type="dxa"/>
            <w:tcBorders/>
          </w:tcPr>
          <w:p>
            <w:pPr>
              <w:pStyle w:val="PlainText"/>
              <w:widowControl/>
              <w:spacing w:before="0" w:after="0"/>
              <w:jc w:val="center"/>
              <w:rPr>
                <w:rFonts w:ascii="Calibri" w:hAnsi="Calibri" w:cs="Calibri"/>
                <w:b/>
                <w:b/>
                <w:bCs/>
                <w:sz w:val="22"/>
                <w:szCs w:val="22"/>
              </w:rPr>
            </w:pPr>
            <w:r>
              <w:rPr>
                <w:rFonts w:eastAsia="Times New Roman" w:cs="Calibri" w:ascii="Calibri" w:hAnsi="Calibri"/>
                <w:b/>
                <w:bCs/>
                <w:kern w:val="0"/>
                <w:sz w:val="22"/>
                <w:szCs w:val="22"/>
                <w:lang w:val="ca-ES" w:bidi="ar-SA"/>
              </w:rPr>
              <w:t>IMPORT</w:t>
            </w:r>
          </w:p>
        </w:tc>
      </w:tr>
      <w:tr>
        <w:trPr/>
        <w:tc>
          <w:tcPr>
            <w:tcW w:w="141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r>
          </w:p>
        </w:tc>
        <w:tc>
          <w:tcPr>
            <w:tcW w:w="498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ROMANENT AFECTAT PER INCORPORACIÓ ROMANENTS DE CRÈDIT</w:t>
            </w:r>
          </w:p>
        </w:tc>
        <w:tc>
          <w:tcPr>
            <w:tcW w:w="1965" w:type="dxa"/>
            <w:tcBorders/>
          </w:tcPr>
          <w:p>
            <w:pPr>
              <w:pStyle w:val="PlainText"/>
              <w:widowControl/>
              <w:spacing w:before="0" w:after="0"/>
              <w:jc w:val="right"/>
              <w:rPr>
                <w:rFonts w:ascii="Calibri" w:hAnsi="Calibri" w:cs="Calibri"/>
                <w:sz w:val="22"/>
                <w:szCs w:val="22"/>
                <w:highlight w:val="yellow"/>
              </w:rPr>
            </w:pPr>
            <w:r>
              <w:rPr>
                <w:rFonts w:eastAsia="Times New Roman" w:cs="Calibri" w:ascii="Calibri" w:hAnsi="Calibri"/>
                <w:kern w:val="0"/>
                <w:sz w:val="22"/>
                <w:szCs w:val="22"/>
                <w:highlight w:val="yellow"/>
                <w:lang w:val="ca-ES" w:bidi="ar-SA"/>
              </w:rPr>
            </w:r>
          </w:p>
          <w:p>
            <w:pPr>
              <w:pStyle w:val="PlainText"/>
              <w:widowControl/>
              <w:spacing w:before="0" w:after="0"/>
              <w:jc w:val="right"/>
              <w:rPr>
                <w:rFonts w:ascii="Calibri" w:hAnsi="Calibri" w:cs="Calibri"/>
                <w:sz w:val="22"/>
                <w:szCs w:val="22"/>
                <w:highlight w:val="yellow"/>
              </w:rPr>
            </w:pPr>
            <w:r>
              <w:rPr>
                <w:rFonts w:eastAsia="Times New Roman" w:cs="Calibri" w:ascii="Calibri" w:hAnsi="Calibri"/>
                <w:kern w:val="0"/>
                <w:sz w:val="22"/>
                <w:szCs w:val="22"/>
                <w:lang w:val="ca-ES" w:bidi="ar-SA"/>
              </w:rPr>
              <w:t>230.286,67</w:t>
            </w:r>
          </w:p>
        </w:tc>
      </w:tr>
      <w:tr>
        <w:trPr/>
        <w:tc>
          <w:tcPr>
            <w:tcW w:w="141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2021-013-01</w:t>
            </w:r>
          </w:p>
        </w:tc>
        <w:tc>
          <w:tcPr>
            <w:tcW w:w="498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SOIB REACTIVA 2021 NETEJA (A RETORNAR)</w:t>
            </w:r>
          </w:p>
        </w:tc>
        <w:tc>
          <w:tcPr>
            <w:tcW w:w="1965" w:type="dxa"/>
            <w:tcBorders/>
          </w:tcPr>
          <w:p>
            <w:pPr>
              <w:pStyle w:val="PlainText"/>
              <w:widowControl/>
              <w:spacing w:before="0" w:after="0"/>
              <w:jc w:val="right"/>
              <w:rPr>
                <w:rFonts w:ascii="Calibri" w:hAnsi="Calibri" w:cs="Calibri"/>
                <w:sz w:val="22"/>
                <w:szCs w:val="22"/>
              </w:rPr>
            </w:pPr>
            <w:r>
              <w:rPr>
                <w:rFonts w:eastAsia="Times New Roman" w:cs="Calibri" w:ascii="Calibri" w:hAnsi="Calibri"/>
                <w:kern w:val="0"/>
                <w:sz w:val="22"/>
                <w:szCs w:val="22"/>
                <w:lang w:val="ca-ES" w:bidi="ar-SA"/>
              </w:rPr>
              <w:t>8.733,25</w:t>
            </w:r>
          </w:p>
        </w:tc>
      </w:tr>
      <w:tr>
        <w:trPr/>
        <w:tc>
          <w:tcPr>
            <w:tcW w:w="141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2022-005-01</w:t>
            </w:r>
          </w:p>
        </w:tc>
        <w:tc>
          <w:tcPr>
            <w:tcW w:w="498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PAPERERES RECOLLIDA SELECTIVA</w:t>
            </w:r>
          </w:p>
        </w:tc>
        <w:tc>
          <w:tcPr>
            <w:tcW w:w="1965" w:type="dxa"/>
            <w:tcBorders/>
          </w:tcPr>
          <w:p>
            <w:pPr>
              <w:pStyle w:val="PlainText"/>
              <w:widowControl/>
              <w:spacing w:before="0" w:after="0"/>
              <w:jc w:val="right"/>
              <w:rPr>
                <w:rFonts w:ascii="Calibri" w:hAnsi="Calibri" w:cs="Calibri"/>
                <w:sz w:val="22"/>
                <w:szCs w:val="22"/>
              </w:rPr>
            </w:pPr>
            <w:r>
              <w:rPr>
                <w:rFonts w:eastAsia="Times New Roman" w:cs="Calibri" w:ascii="Calibri" w:hAnsi="Calibri"/>
                <w:kern w:val="0"/>
                <w:sz w:val="22"/>
                <w:szCs w:val="22"/>
                <w:lang w:val="ca-ES" w:bidi="ar-SA"/>
              </w:rPr>
              <w:t>6.738,30</w:t>
            </w:r>
          </w:p>
        </w:tc>
      </w:tr>
      <w:tr>
        <w:trPr/>
        <w:tc>
          <w:tcPr>
            <w:tcW w:w="141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2021-023-02</w:t>
            </w:r>
          </w:p>
        </w:tc>
        <w:tc>
          <w:tcPr>
            <w:tcW w:w="4982" w:type="dxa"/>
            <w:tcBorders/>
          </w:tcPr>
          <w:p>
            <w:pPr>
              <w:pStyle w:val="PlainText"/>
              <w:widowControl/>
              <w:spacing w:before="0" w:after="0"/>
              <w:jc w:val="left"/>
              <w:rPr>
                <w:rFonts w:ascii="Calibri" w:hAnsi="Calibri" w:cs="Calibri"/>
                <w:sz w:val="22"/>
                <w:szCs w:val="22"/>
              </w:rPr>
            </w:pPr>
            <w:r>
              <w:rPr>
                <w:rFonts w:eastAsia="Times New Roman" w:cs="Calibri" w:ascii="Calibri" w:hAnsi="Calibri"/>
                <w:kern w:val="0"/>
                <w:sz w:val="22"/>
                <w:szCs w:val="22"/>
                <w:lang w:val="ca-ES" w:bidi="ar-SA"/>
              </w:rPr>
              <w:t xml:space="preserve">MILLORES INSTAL·LACIONS ESPORTIVES </w:t>
            </w:r>
          </w:p>
        </w:tc>
        <w:tc>
          <w:tcPr>
            <w:tcW w:w="1965" w:type="dxa"/>
            <w:tcBorders/>
            <w:shd w:color="auto" w:fill="auto" w:val="clear"/>
          </w:tcPr>
          <w:p>
            <w:pPr>
              <w:pStyle w:val="PlainText"/>
              <w:widowControl/>
              <w:spacing w:before="0" w:after="0"/>
              <w:jc w:val="right"/>
              <w:rPr>
                <w:rFonts w:ascii="Calibri" w:hAnsi="Calibri" w:cs="Calibri"/>
                <w:sz w:val="22"/>
                <w:szCs w:val="22"/>
              </w:rPr>
            </w:pPr>
            <w:r>
              <w:rPr>
                <w:rFonts w:eastAsia="Times New Roman" w:cs="Calibri" w:ascii="Calibri" w:hAnsi="Calibri"/>
                <w:kern w:val="0"/>
                <w:sz w:val="22"/>
                <w:szCs w:val="22"/>
                <w:lang w:val="ca-ES" w:bidi="ar-SA"/>
              </w:rPr>
              <w:t>16.836,92</w:t>
            </w:r>
          </w:p>
        </w:tc>
      </w:tr>
      <w:tr>
        <w:trPr/>
        <w:tc>
          <w:tcPr>
            <w:tcW w:w="141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2022-018-01</w:t>
            </w:r>
          </w:p>
        </w:tc>
        <w:tc>
          <w:tcPr>
            <w:tcW w:w="4982" w:type="dxa"/>
            <w:tcBorders/>
          </w:tcPr>
          <w:p>
            <w:pPr>
              <w:pStyle w:val="PlainText"/>
              <w:widowControl/>
              <w:spacing w:before="0" w:after="0"/>
              <w:jc w:val="left"/>
              <w:rPr>
                <w:rFonts w:ascii="Calibri" w:hAnsi="Calibri" w:cs="Calibri"/>
                <w:sz w:val="22"/>
                <w:szCs w:val="22"/>
              </w:rPr>
            </w:pPr>
            <w:r>
              <w:rPr>
                <w:rFonts w:eastAsia="Times New Roman" w:cs="Calibri" w:ascii="Calibri" w:hAnsi="Calibri"/>
                <w:kern w:val="0"/>
                <w:sz w:val="22"/>
                <w:szCs w:val="22"/>
                <w:lang w:val="ca-ES" w:bidi="ar-SA"/>
              </w:rPr>
              <w:t>POS 2022-2023 DESPESA 2023</w:t>
            </w:r>
          </w:p>
        </w:tc>
        <w:tc>
          <w:tcPr>
            <w:tcW w:w="1965" w:type="dxa"/>
            <w:tcBorders/>
            <w:shd w:color="auto" w:fill="auto" w:val="clear"/>
          </w:tcPr>
          <w:p>
            <w:pPr>
              <w:pStyle w:val="PlainText"/>
              <w:widowControl/>
              <w:spacing w:before="0" w:after="0"/>
              <w:jc w:val="right"/>
              <w:rPr>
                <w:rFonts w:ascii="Calibri" w:hAnsi="Calibri" w:cs="Calibri"/>
                <w:sz w:val="22"/>
                <w:szCs w:val="22"/>
              </w:rPr>
            </w:pPr>
            <w:r>
              <w:rPr>
                <w:rFonts w:eastAsia="Times New Roman" w:cs="Calibri" w:ascii="Calibri" w:hAnsi="Calibri"/>
                <w:kern w:val="0"/>
                <w:sz w:val="22"/>
                <w:szCs w:val="22"/>
                <w:lang w:val="ca-ES" w:bidi="ar-SA"/>
              </w:rPr>
              <w:t>27.555,67</w:t>
            </w:r>
          </w:p>
        </w:tc>
      </w:tr>
      <w:tr>
        <w:trPr/>
        <w:tc>
          <w:tcPr>
            <w:tcW w:w="141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2022-002-01</w:t>
            </w:r>
          </w:p>
        </w:tc>
        <w:tc>
          <w:tcPr>
            <w:tcW w:w="4982" w:type="dxa"/>
            <w:tcBorders/>
          </w:tcPr>
          <w:p>
            <w:pPr>
              <w:pStyle w:val="PlainText"/>
              <w:widowControl/>
              <w:spacing w:before="0" w:after="0"/>
              <w:jc w:val="left"/>
              <w:rPr>
                <w:rFonts w:ascii="Calibri" w:hAnsi="Calibri" w:cs="Calibri"/>
                <w:sz w:val="22"/>
                <w:szCs w:val="22"/>
              </w:rPr>
            </w:pPr>
            <w:r>
              <w:rPr>
                <w:rFonts w:eastAsia="Times New Roman" w:cs="Calibri" w:ascii="Calibri" w:hAnsi="Calibri"/>
                <w:kern w:val="0"/>
                <w:sz w:val="22"/>
                <w:szCs w:val="22"/>
                <w:lang w:val="ca-ES" w:bidi="ar-SA"/>
              </w:rPr>
              <w:t>MILLORA XARXA CLAVEGUERAM</w:t>
            </w:r>
          </w:p>
        </w:tc>
        <w:tc>
          <w:tcPr>
            <w:tcW w:w="1965" w:type="dxa"/>
            <w:tcBorders/>
            <w:shd w:color="auto" w:fill="auto" w:val="clear"/>
          </w:tcPr>
          <w:p>
            <w:pPr>
              <w:pStyle w:val="PlainText"/>
              <w:widowControl/>
              <w:spacing w:before="0" w:after="0"/>
              <w:jc w:val="right"/>
              <w:rPr>
                <w:rFonts w:ascii="Calibri" w:hAnsi="Calibri" w:cs="Calibri"/>
                <w:sz w:val="22"/>
                <w:szCs w:val="22"/>
              </w:rPr>
            </w:pPr>
            <w:r>
              <w:rPr>
                <w:rFonts w:eastAsia="Times New Roman" w:cs="Calibri" w:ascii="Calibri" w:hAnsi="Calibri"/>
                <w:kern w:val="0"/>
                <w:sz w:val="22"/>
                <w:szCs w:val="22"/>
                <w:lang w:val="ca-ES" w:bidi="ar-SA"/>
              </w:rPr>
              <w:t>3.865,65</w:t>
            </w:r>
          </w:p>
        </w:tc>
      </w:tr>
      <w:tr>
        <w:trPr/>
        <w:tc>
          <w:tcPr>
            <w:tcW w:w="141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r>
          </w:p>
        </w:tc>
        <w:tc>
          <w:tcPr>
            <w:tcW w:w="4982" w:type="dxa"/>
            <w:tcBorders/>
          </w:tcPr>
          <w:p>
            <w:pPr>
              <w:pStyle w:val="PlainText"/>
              <w:widowControl/>
              <w:spacing w:before="0" w:after="0"/>
              <w:jc w:val="center"/>
              <w:rPr>
                <w:rFonts w:ascii="Calibri" w:hAnsi="Calibri" w:cs="Calibri"/>
                <w:b/>
                <w:b/>
                <w:bCs/>
                <w:sz w:val="22"/>
                <w:szCs w:val="22"/>
              </w:rPr>
            </w:pPr>
            <w:r>
              <w:rPr>
                <w:rFonts w:eastAsia="Times New Roman" w:cs="Calibri" w:ascii="Calibri" w:hAnsi="Calibri"/>
                <w:b/>
                <w:bCs/>
                <w:kern w:val="0"/>
                <w:sz w:val="22"/>
                <w:szCs w:val="22"/>
                <w:lang w:val="ca-ES" w:bidi="ar-SA"/>
              </w:rPr>
              <w:t>T O T A L</w:t>
            </w:r>
          </w:p>
        </w:tc>
        <w:tc>
          <w:tcPr>
            <w:tcW w:w="1965" w:type="dxa"/>
            <w:tcBorders/>
            <w:shd w:color="auto" w:fill="auto" w:val="clear"/>
          </w:tcPr>
          <w:p>
            <w:pPr>
              <w:pStyle w:val="PlainText"/>
              <w:widowControl/>
              <w:spacing w:before="0" w:after="0"/>
              <w:jc w:val="right"/>
              <w:rPr>
                <w:rFonts w:ascii="Calibri" w:hAnsi="Calibri" w:cs="Calibri"/>
                <w:b/>
                <w:b/>
                <w:bCs/>
                <w:sz w:val="22"/>
                <w:szCs w:val="22"/>
              </w:rPr>
            </w:pPr>
            <w:r>
              <w:rPr>
                <w:rFonts w:eastAsia="Times New Roman" w:cs="Calibri" w:ascii="Calibri" w:hAnsi="Calibri"/>
                <w:b/>
                <w:bCs/>
                <w:kern w:val="0"/>
                <w:sz w:val="22"/>
                <w:szCs w:val="22"/>
                <w:lang w:val="ca-ES" w:bidi="ar-SA"/>
              </w:rPr>
              <w:t xml:space="preserve"> </w:t>
            </w:r>
          </w:p>
        </w:tc>
      </w:tr>
    </w:tbl>
    <w:p>
      <w:pPr>
        <w:pStyle w:val="PlainText"/>
        <w:ind w:left="708" w:hanging="0"/>
        <w:jc w:val="both"/>
        <w:rPr>
          <w:rFonts w:ascii="Calibri" w:hAnsi="Calibri" w:cs="Calibri"/>
          <w:sz w:val="22"/>
          <w:szCs w:val="22"/>
        </w:rPr>
      </w:pPr>
      <w:r>
        <w:rPr>
          <w:rFonts w:cs="Calibri" w:ascii="Calibri" w:hAnsi="Calibri"/>
          <w:sz w:val="22"/>
          <w:szCs w:val="22"/>
        </w:rPr>
        <w:t>D’aquesta manera de l’esmentada Liquidació del Pressupost es dedueix el següent Romanent disponible:</w:t>
      </w:r>
    </w:p>
    <w:p>
      <w:pPr>
        <w:pStyle w:val="PlainText"/>
        <w:ind w:left="708" w:hanging="0"/>
        <w:jc w:val="both"/>
        <w:rPr>
          <w:rFonts w:ascii="Calibri" w:hAnsi="Calibri" w:cs="Calibri"/>
          <w:sz w:val="22"/>
          <w:szCs w:val="22"/>
        </w:rPr>
      </w:pPr>
      <w:r>
        <w:rPr>
          <w:rFonts w:cs="Calibri" w:ascii="Calibri" w:hAnsi="Calibri"/>
          <w:sz w:val="22"/>
          <w:szCs w:val="22"/>
        </w:rPr>
        <w:t xml:space="preserve"> </w:t>
      </w:r>
    </w:p>
    <w:tbl>
      <w:tblPr>
        <w:tblW w:w="778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6010"/>
        <w:gridCol w:w="1776"/>
      </w:tblGrid>
      <w:tr>
        <w:trPr/>
        <w:tc>
          <w:tcPr>
            <w:tcW w:w="6010"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Romanent de tresoreria total</w:t>
            </w:r>
          </w:p>
        </w:tc>
        <w:tc>
          <w:tcPr>
            <w:tcW w:w="17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1.221.030,75</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de tresoreria afectat a despeses amb finançament afectat</w:t>
            </w:r>
          </w:p>
        </w:tc>
        <w:tc>
          <w:tcPr>
            <w:tcW w:w="1776"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r>
          </w:p>
          <w:p>
            <w:pPr>
              <w:pStyle w:val="PlainText"/>
              <w:widowControl w:val="false"/>
              <w:jc w:val="right"/>
              <w:rPr>
                <w:rFonts w:ascii="Calibri" w:hAnsi="Calibri" w:cs="Calibri"/>
                <w:sz w:val="22"/>
                <w:szCs w:val="22"/>
              </w:rPr>
            </w:pPr>
            <w:r>
              <w:rPr>
                <w:rFonts w:cs="Calibri" w:ascii="Calibri" w:hAnsi="Calibri"/>
                <w:sz w:val="22"/>
                <w:szCs w:val="22"/>
              </w:rPr>
              <w:t>294.016,46</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de tresoreria per a despeses generals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927.014,29</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Quantitat utilitzada a càrrec del romanent de tresoreria per despeses generals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144.360,14</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disponible</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782.654,15</w:t>
            </w:r>
          </w:p>
        </w:tc>
      </w:tr>
    </w:tbl>
    <w:p>
      <w:pPr>
        <w:pStyle w:val="PlainText"/>
        <w:ind w:firstLine="708"/>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rPr>
      </w:pPr>
      <w:r>
        <w:rPr>
          <w:rFonts w:cs="Calibri" w:ascii="Calibri" w:hAnsi="Calibri"/>
          <w:sz w:val="22"/>
          <w:szCs w:val="22"/>
        </w:rPr>
        <w:t xml:space="preserve">Cal destacar que, si del romanent disponible de 782.654,15 €, restem l’import de les despeses  pendents d’aplicar al pressupost de l’exercici 2022, comptabilitzats al compte 555 per import de  172.227,84 €, i que es reconeixerà extrajudicialment modificant el pressupost 2023 amb càrrec a romanent de 2022,  </w:t>
      </w:r>
      <w:r>
        <w:rPr>
          <w:rFonts w:cs="Calibri" w:ascii="Calibri" w:hAnsi="Calibri"/>
          <w:b/>
          <w:bCs/>
          <w:sz w:val="22"/>
          <w:szCs w:val="22"/>
        </w:rPr>
        <w:t xml:space="preserve">ens queda un romanent disponible final </w:t>
      </w:r>
      <w:r>
        <w:rPr>
          <w:rFonts w:cs="Calibri" w:ascii="Calibri" w:hAnsi="Calibri"/>
          <w:sz w:val="22"/>
          <w:szCs w:val="22"/>
        </w:rPr>
        <w:t>de 610.426,31 €.</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ab/>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numPr>
          <w:ilvl w:val="0"/>
          <w:numId w:val="6"/>
        </w:numPr>
        <w:jc w:val="both"/>
        <w:rPr>
          <w:rFonts w:ascii="Calibri" w:hAnsi="Calibri" w:cs="Calibri" w:asciiTheme="minorHAnsi" w:hAnsiTheme="minorHAnsi"/>
          <w:b/>
          <w:b/>
          <w:sz w:val="22"/>
          <w:szCs w:val="22"/>
        </w:rPr>
      </w:pPr>
      <w:r>
        <w:rPr>
          <w:rFonts w:cs="Calibri" w:ascii="Calibri" w:hAnsi="Calibri" w:asciiTheme="minorHAnsi" w:hAnsiTheme="minorHAnsi"/>
          <w:b/>
          <w:sz w:val="22"/>
          <w:szCs w:val="22"/>
        </w:rPr>
        <w:t>CONCLUSIONS</w:t>
      </w:r>
    </w:p>
    <w:p>
      <w:pPr>
        <w:pStyle w:val="PlainText"/>
        <w:ind w:left="720" w:hanging="0"/>
        <w:jc w:val="both"/>
        <w:rPr>
          <w:rFonts w:ascii="Calibri" w:hAnsi="Calibri" w:cs="Calibri" w:asciiTheme="minorHAnsi" w:hAnsiTheme="minorHAnsi"/>
          <w:sz w:val="22"/>
          <w:szCs w:val="22"/>
        </w:rPr>
      </w:pPr>
      <w:r>
        <w:rPr>
          <w:rFonts w:cs="Calibri" w:ascii="Calibri" w:hAnsi="Calibri"/>
          <w:sz w:val="22"/>
          <w:szCs w:val="22"/>
        </w:rPr>
      </w:r>
    </w:p>
    <w:p>
      <w:pPr>
        <w:pStyle w:val="PlainText"/>
        <w:ind w:left="720" w:hanging="0"/>
        <w:jc w:val="both"/>
        <w:rPr>
          <w:rFonts w:ascii="Calibri" w:hAnsi="Calibri" w:cs="Calibri" w:asciiTheme="minorHAnsi" w:hAnsiTheme="minorHAnsi"/>
          <w:sz w:val="22"/>
          <w:szCs w:val="22"/>
        </w:rPr>
      </w:pPr>
      <w:r>
        <w:rPr>
          <w:rFonts w:cs="Calibri" w:ascii="Calibri" w:hAnsi="Calibri"/>
          <w:sz w:val="22"/>
          <w:szCs w:val="22"/>
        </w:rPr>
      </w:r>
    </w:p>
    <w:p>
      <w:pPr>
        <w:pStyle w:val="PlainText"/>
        <w:ind w:left="720" w:hanging="0"/>
        <w:jc w:val="both"/>
        <w:rPr>
          <w:rFonts w:ascii="Calibri" w:hAnsi="Calibri" w:cs="Calibri" w:asciiTheme="minorHAnsi" w:hAnsiTheme="minorHAnsi"/>
          <w:sz w:val="22"/>
          <w:szCs w:val="22"/>
        </w:rPr>
      </w:pPr>
      <w:r>
        <w:rPr>
          <w:rFonts w:cs="Calibri" w:ascii="Calibri" w:hAnsi="Calibri" w:asciiTheme="minorHAnsi" w:hAnsiTheme="minorHAnsi"/>
          <w:sz w:val="22"/>
          <w:szCs w:val="22"/>
        </w:rPr>
        <w:t>El RDL 2/2004, de 5 de març, pel qual s’aprova el Text Refós de la Llei Reguladora de les Hisendes Locals, i el RD 500/1990 regulen el moment de tancament i la liquidació del pressupost. L’aprovació de la liquidació del pressupost correspon al President de l’entitat, amb l’informe previ de la intervenció.</w:t>
      </w:r>
    </w:p>
    <w:p>
      <w:pPr>
        <w:pStyle w:val="PlainText"/>
        <w:ind w:left="720" w:hanging="0"/>
        <w:jc w:val="both"/>
        <w:rPr>
          <w:rFonts w:ascii="Calibri" w:hAnsi="Calibri" w:cs="Calibri" w:asciiTheme="minorHAnsi" w:hAnsiTheme="minorHAnsi"/>
          <w:sz w:val="22"/>
          <w:szCs w:val="22"/>
        </w:rPr>
      </w:pPr>
      <w:r>
        <w:rPr>
          <w:rFonts w:cs="Calibri" w:ascii="Calibri" w:hAnsi="Calibri"/>
          <w:sz w:val="22"/>
          <w:szCs w:val="22"/>
        </w:rPr>
      </w:r>
    </w:p>
    <w:p>
      <w:pPr>
        <w:pStyle w:val="PlainText"/>
        <w:ind w:left="720" w:hanging="0"/>
        <w:jc w:val="both"/>
        <w:rPr>
          <w:rFonts w:ascii="Calibri" w:hAnsi="Calibri" w:cs="Calibri" w:asciiTheme="minorHAnsi" w:hAnsiTheme="minorHAnsi"/>
          <w:sz w:val="22"/>
          <w:szCs w:val="22"/>
        </w:rPr>
      </w:pPr>
      <w:r>
        <w:rPr>
          <w:rFonts w:cs="Calibri" w:ascii="Calibri" w:hAnsi="Calibri" w:asciiTheme="minorHAnsi" w:hAnsiTheme="minorHAnsi"/>
          <w:sz w:val="22"/>
          <w:szCs w:val="22"/>
        </w:rPr>
        <w:t>Una vegada efectuada l’aprovació de la liquidació se’n donarà compte al Ple en la primera sessió que es celebri.</w:t>
      </w:r>
    </w:p>
    <w:p>
      <w:pPr>
        <w:pStyle w:val="PlainText"/>
        <w:ind w:left="720" w:hanging="0"/>
        <w:jc w:val="both"/>
        <w:rPr>
          <w:rFonts w:ascii="Calibri" w:hAnsi="Calibri" w:cs="Calibri" w:asciiTheme="minorHAnsi" w:hAnsiTheme="minorHAnsi"/>
          <w:sz w:val="22"/>
          <w:szCs w:val="22"/>
        </w:rPr>
      </w:pPr>
      <w:r>
        <w:rPr>
          <w:rFonts w:cs="Calibri" w:ascii="Calibri" w:hAnsi="Calibri"/>
          <w:sz w:val="22"/>
          <w:szCs w:val="22"/>
        </w:rPr>
      </w:r>
    </w:p>
    <w:p>
      <w:pPr>
        <w:pStyle w:val="PlainText"/>
        <w:ind w:left="720" w:hanging="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S’ha complert el que estableix els articles 92 a 105 del RD 500/1990, de 20 d’abril, de desenvolupament de la Llei d’Hisendes Locals, en matèria pressupostaria.  </w:t>
      </w:r>
    </w:p>
    <w:p>
      <w:pPr>
        <w:pStyle w:val="PlainText"/>
        <w:ind w:left="720" w:hanging="0"/>
        <w:jc w:val="both"/>
        <w:rPr>
          <w:rFonts w:ascii="Calibri" w:hAnsi="Calibri" w:cs="Calibri" w:asciiTheme="minorHAnsi" w:hAnsiTheme="minorHAnsi"/>
          <w:sz w:val="22"/>
          <w:szCs w:val="22"/>
        </w:rPr>
      </w:pPr>
      <w:r>
        <w:rPr>
          <w:rFonts w:cs="Calibri" w:ascii="Calibri" w:hAnsi="Calibri"/>
          <w:sz w:val="22"/>
          <w:szCs w:val="22"/>
        </w:rPr>
      </w:r>
    </w:p>
    <w:p>
      <w:pPr>
        <w:pStyle w:val="PlainText"/>
        <w:ind w:left="720" w:hanging="0"/>
        <w:jc w:val="both"/>
        <w:rPr>
          <w:rFonts w:ascii="Calibri" w:hAnsi="Calibri" w:cs="Calibri" w:asciiTheme="minorHAnsi" w:hAnsiTheme="minorHAnsi"/>
          <w:iCs/>
          <w:sz w:val="22"/>
          <w:szCs w:val="22"/>
        </w:rPr>
      </w:pPr>
      <w:r>
        <w:rPr>
          <w:rFonts w:cs="Calibri" w:ascii="Calibri" w:hAnsi="Calibri" w:asciiTheme="minorHAnsi" w:hAnsiTheme="minorHAnsi"/>
          <w:iCs/>
          <w:sz w:val="22"/>
          <w:szCs w:val="22"/>
        </w:rPr>
        <w:t xml:space="preserve">Aquest és el parer de qui subscriu, sempre sotmès a millor criteri, fonamentat en dret, i/o coneixements dels fets que resoldrà amb el seu superior criteri l’òrgan competent de l’Ajuntament. </w:t>
      </w:r>
    </w:p>
    <w:p>
      <w:pPr>
        <w:pStyle w:val="PlainText"/>
        <w:ind w:left="720" w:hanging="0"/>
        <w:jc w:val="both"/>
        <w:rPr>
          <w:rFonts w:ascii="Calibri" w:hAnsi="Calibri" w:cs="Calibri" w:asciiTheme="minorHAnsi" w:hAnsiTheme="minorHAnsi"/>
          <w:iCs/>
          <w:sz w:val="22"/>
          <w:szCs w:val="22"/>
        </w:rPr>
      </w:pPr>
      <w:r>
        <w:rPr>
          <w:rFonts w:cs="Calibri" w:ascii="Calibri" w:hAnsi="Calibri"/>
          <w:iCs/>
          <w:sz w:val="22"/>
          <w:szCs w:val="22"/>
        </w:rPr>
      </w:r>
    </w:p>
    <w:p>
      <w:pPr>
        <w:pStyle w:val="PlainText"/>
        <w:ind w:left="720" w:hanging="0"/>
        <w:jc w:val="both"/>
        <w:rPr>
          <w:rFonts w:ascii="Calibri" w:hAnsi="Calibri" w:cs="Calibri" w:asciiTheme="minorHAnsi" w:hAnsiTheme="minorHAnsi"/>
          <w:sz w:val="22"/>
          <w:szCs w:val="22"/>
        </w:rPr>
      </w:pPr>
      <w:r>
        <w:rPr>
          <w:rFonts w:cs="Calibri" w:ascii="Calibri" w:hAnsi="Calibri" w:asciiTheme="minorHAnsi" w:hAnsiTheme="minorHAnsi"/>
          <w:sz w:val="22"/>
          <w:szCs w:val="22"/>
        </w:rPr>
        <w:t xml:space="preserve"> </w:t>
      </w:r>
      <w:r>
        <w:rPr>
          <w:rFonts w:cs="Calibri" w:ascii="Calibri" w:hAnsi="Calibri" w:asciiTheme="minorHAnsi" w:hAnsiTheme="minorHAnsi"/>
          <w:sz w:val="22"/>
          <w:szCs w:val="22"/>
        </w:rPr>
        <w:t>No obstant, la Batlia - Presidència acordarà.</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A  Petra, a                        de                      de 2023.</w:t>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EL SECRETARI-INTERVENTOR,</w:t>
      </w:r>
    </w:p>
    <w:p>
      <w:pPr>
        <w:pStyle w:val="Normal"/>
        <w:jc w:val="center"/>
        <w:rPr>
          <w:rFonts w:ascii="Calibri" w:hAnsi="Calibri" w:cs="Calibri"/>
          <w:b/>
          <w:b/>
          <w:sz w:val="22"/>
          <w:szCs w:val="22"/>
        </w:rPr>
      </w:pPr>
      <w:r>
        <w:rPr>
          <w:rFonts w:cs="Calibri" w:ascii="Calibri" w:hAnsi="Calibri"/>
          <w:b/>
          <w:sz w:val="22"/>
          <w:szCs w:val="22"/>
        </w:rPr>
        <w:t>LIQUIDACIÓ EXERCICI 2022</w:t>
      </w:r>
    </w:p>
    <w:p>
      <w:pPr>
        <w:pStyle w:val="Normal"/>
        <w:jc w:val="both"/>
        <w:rPr>
          <w:rFonts w:ascii="Calibri" w:hAnsi="Calibri" w:cs="Calibri"/>
          <w:sz w:val="22"/>
          <w:szCs w:val="22"/>
        </w:rPr>
      </w:pPr>
      <w:r>
        <w:rPr>
          <w:rFonts w:cs="Calibri" w:ascii="Calibri" w:hAnsi="Calibri"/>
          <w:sz w:val="22"/>
          <w:szCs w:val="22"/>
        </w:rPr>
      </w:r>
    </w:p>
    <w:p>
      <w:pPr>
        <w:pStyle w:val="Normal"/>
        <w:widowControl w:val="false"/>
        <w:spacing w:lineRule="auto" w:line="360"/>
        <w:jc w:val="both"/>
        <w:rPr>
          <w:rFonts w:ascii="Calibri" w:hAnsi="Calibri" w:cs="Calibri"/>
          <w:sz w:val="22"/>
          <w:szCs w:val="22"/>
        </w:rPr>
      </w:pPr>
      <w:r>
        <w:rPr>
          <w:rFonts w:cs="Calibri" w:ascii="Calibri" w:hAnsi="Calibri"/>
          <w:sz w:val="22"/>
          <w:szCs w:val="22"/>
        </w:rPr>
        <w:tab/>
      </w:r>
    </w:p>
    <w:p>
      <w:pPr>
        <w:pStyle w:val="Normal"/>
        <w:spacing w:lineRule="auto" w:line="360" w:before="240" w:after="240"/>
        <w:ind w:firstLine="709"/>
        <w:jc w:val="both"/>
        <w:rPr>
          <w:rFonts w:ascii="Calibri" w:hAnsi="Calibri" w:eastAsia="Verdana" w:cs="Calibri" w:asciiTheme="minorHAnsi" w:cstheme="minorHAnsi" w:hAnsiTheme="minorHAnsi"/>
          <w:sz w:val="22"/>
          <w:szCs w:val="22"/>
        </w:rPr>
      </w:pPr>
      <w:r>
        <w:rPr>
          <w:rFonts w:eastAsia="Batang" w:cs="Calibri" w:ascii="Calibri" w:hAnsi="Calibri"/>
          <w:sz w:val="22"/>
          <w:szCs w:val="22"/>
          <w:lang w:eastAsia="ko-KR"/>
        </w:rPr>
        <w:t>En</w:t>
      </w:r>
      <w:r>
        <w:rPr>
          <w:rFonts w:cs="Calibri" w:ascii="Calibri" w:hAnsi="Calibri"/>
          <w:sz w:val="22"/>
          <w:szCs w:val="22"/>
        </w:rPr>
        <w:t xml:space="preserve"> Francisco González Benito, Secretari-Interventor </w:t>
      </w:r>
      <w:r>
        <w:rPr>
          <w:rFonts w:eastAsia="Batang" w:cs="Calibri" w:ascii="Calibri" w:hAnsi="Calibri"/>
          <w:sz w:val="22"/>
          <w:szCs w:val="22"/>
          <w:lang w:eastAsia="ko-KR"/>
        </w:rPr>
        <w:t>de fons de l’Ajuntament de Petra</w:t>
      </w:r>
      <w:r>
        <w:rPr>
          <w:rFonts w:eastAsia="Verdana" w:cs="Calibri" w:ascii="Calibri" w:hAnsi="Calibri" w:asciiTheme="minorHAnsi" w:cstheme="minorHAnsi" w:hAnsiTheme="minorHAnsi"/>
          <w:sz w:val="22"/>
          <w:szCs w:val="22"/>
        </w:rPr>
        <w:t xml:space="preserve">, en virtut de les atribucions de control citades i establertes en l'article 213 del Text Refós de la Llei Reguladora de les Hisendes Locals aprovat pel Reial decret Legislatiu 2/2004, de 5 de març i desenvolupades pel Reial decret 424/2017, de 28 d'abril, pel qual es regula el règim jurídic del control intern en les entitats del Sector Públic Local; i en atenció a les facultats recollides en l'article 4.1.b.6è del Reial decret 128/2018, de 16 de març, pel qual es regula el Règim Jurídic dels Funcionaris d'Administració Local amb habilitació de caràcter nacional i </w:t>
      </w:r>
      <w:r>
        <w:rPr>
          <w:rFonts w:eastAsia="Batang" w:cs="Calibri" w:ascii="Calibri" w:hAnsi="Calibri"/>
          <w:sz w:val="22"/>
          <w:szCs w:val="22"/>
          <w:lang w:eastAsia="ko-KR"/>
        </w:rPr>
        <w:t xml:space="preserve"> en compliment del que disposa l'article 16.2, del R.D. 1463/2007 de 2 de novembre i observant els principis establerts a la Llei Orgànica 2/2012, de 27 d’Abril, d’Estabilitat i Sostenibilitat Financera, </w:t>
      </w:r>
      <w:r>
        <w:rPr>
          <w:rFonts w:eastAsia="Verdana" w:cs="Calibri" w:ascii="Calibri" w:hAnsi="Calibri" w:asciiTheme="minorHAnsi" w:cstheme="minorHAnsi" w:hAnsiTheme="minorHAnsi"/>
          <w:sz w:val="22"/>
          <w:szCs w:val="22"/>
        </w:rPr>
        <w:t xml:space="preserve">emet el següent </w:t>
      </w:r>
      <w:r>
        <w:rPr>
          <w:rFonts w:eastAsia="Batang" w:cs="Calibri" w:ascii="Calibri" w:hAnsi="Calibri"/>
          <w:sz w:val="22"/>
          <w:szCs w:val="22"/>
          <w:lang w:eastAsia="ko-KR"/>
        </w:rPr>
        <w:t xml:space="preserve">: </w:t>
      </w:r>
    </w:p>
    <w:p>
      <w:pPr>
        <w:pStyle w:val="Normal"/>
        <w:jc w:val="both"/>
        <w:rPr>
          <w:rFonts w:ascii="Calibri" w:hAnsi="Calibri" w:cs="Calibri"/>
          <w:sz w:val="22"/>
          <w:szCs w:val="22"/>
        </w:rPr>
      </w:pPr>
      <w:r>
        <w:rPr>
          <w:rFonts w:cs="Calibri" w:ascii="Calibri" w:hAnsi="Calibri"/>
          <w:sz w:val="22"/>
          <w:szCs w:val="22"/>
        </w:rPr>
      </w:r>
    </w:p>
    <w:p>
      <w:pPr>
        <w:pStyle w:val="Normal"/>
        <w:jc w:val="center"/>
        <w:rPr>
          <w:rFonts w:ascii="Calibri" w:hAnsi="Calibri" w:cs="Calibri"/>
          <w:b/>
          <w:b/>
          <w:sz w:val="22"/>
          <w:szCs w:val="22"/>
        </w:rPr>
      </w:pPr>
      <w:r>
        <w:rPr>
          <w:rFonts w:cs="Calibri" w:ascii="Calibri" w:hAnsi="Calibri"/>
          <w:b/>
          <w:sz w:val="22"/>
          <w:szCs w:val="22"/>
        </w:rPr>
        <w:t>INFORME</w:t>
      </w:r>
    </w:p>
    <w:p>
      <w:pPr>
        <w:pStyle w:val="Normal"/>
        <w:jc w:val="center"/>
        <w:rPr>
          <w:rFonts w:ascii="Calibri" w:hAnsi="Calibri" w:cs="Calibri"/>
          <w:b/>
          <w:b/>
          <w:sz w:val="22"/>
          <w:szCs w:val="22"/>
        </w:rPr>
      </w:pPr>
      <w:r>
        <w:rPr>
          <w:rFonts w:cs="Calibri" w:ascii="Calibri" w:hAnsi="Calibri"/>
          <w:b/>
          <w:sz w:val="22"/>
          <w:szCs w:val="22"/>
        </w:rPr>
      </w:r>
    </w:p>
    <w:p>
      <w:pPr>
        <w:pStyle w:val="Normal"/>
        <w:jc w:val="both"/>
        <w:rPr>
          <w:rFonts w:ascii="Calibri" w:hAnsi="Calibri" w:cs="Calibri"/>
          <w:bCs/>
          <w:sz w:val="22"/>
          <w:szCs w:val="22"/>
          <w:highlight w:val="green"/>
        </w:rPr>
      </w:pPr>
      <w:r>
        <w:rPr>
          <w:rFonts w:cs="Calibri" w:ascii="Calibri" w:hAnsi="Calibri"/>
          <w:bCs/>
          <w:sz w:val="22"/>
          <w:szCs w:val="22"/>
          <w:highlight w:val="green"/>
        </w:rPr>
      </w:r>
    </w:p>
    <w:p>
      <w:pPr>
        <w:pStyle w:val="Normal"/>
        <w:spacing w:lineRule="auto" w:line="360" w:before="240" w:after="240"/>
        <w:ind w:firstLine="709"/>
        <w:jc w:val="both"/>
        <w:rPr>
          <w:rFonts w:ascii="Calibri" w:hAnsi="Calibri" w:eastAsia="Verdana" w:cs="Calibri"/>
          <w:sz w:val="22"/>
          <w:szCs w:val="22"/>
          <w:lang w:eastAsia="en-US"/>
        </w:rPr>
      </w:pPr>
      <w:r>
        <w:rPr>
          <w:rFonts w:eastAsia="Verdana" w:cs="Calibri" w:ascii="Calibri" w:hAnsi="Calibri"/>
          <w:sz w:val="22"/>
          <w:szCs w:val="22"/>
          <w:lang w:eastAsia="en-US"/>
        </w:rPr>
        <w:t xml:space="preserve">Cal tenir present que la Comissió Europea va decidir aplicar la clàusula general de salvaguarda del Pacte d'Estabilitat i Creixement en 2020 (prorrogada per a l'exercici 2021), considerant que es complien les condicions per mantenir-la en vigor també per a l'any 2022, per la qual cosa el Consell de Ministres del passat 27 de juliol va acordar el manteniment de la suspensió de les regles fiscals.  </w:t>
      </w:r>
    </w:p>
    <w:p>
      <w:pPr>
        <w:pStyle w:val="Normal"/>
        <w:spacing w:lineRule="auto" w:line="360" w:before="240" w:after="240"/>
        <w:ind w:firstLine="709"/>
        <w:jc w:val="both"/>
        <w:rPr>
          <w:rFonts w:ascii="Arial" w:hAnsi="Arial" w:eastAsia="Verdana" w:cs="Arial"/>
          <w:color w:val="C00000"/>
          <w:sz w:val="22"/>
          <w:szCs w:val="22"/>
          <w:lang w:eastAsia="en-US"/>
        </w:rPr>
      </w:pPr>
      <w:r>
        <w:rPr>
          <w:rFonts w:eastAsia="Verdana" w:cs="Calibri" w:ascii="Calibri" w:hAnsi="Calibri"/>
          <w:sz w:val="22"/>
          <w:szCs w:val="22"/>
          <w:lang w:eastAsia="en-US"/>
        </w:rPr>
        <w:t xml:space="preserve"> </w:t>
      </w:r>
      <w:r>
        <w:rPr>
          <w:rFonts w:eastAsia="Verdana" w:cs="Calibri" w:ascii="Calibri" w:hAnsi="Calibri"/>
          <w:sz w:val="22"/>
          <w:szCs w:val="22"/>
          <w:lang w:eastAsia="en-US"/>
        </w:rPr>
        <w:t>Decisió que va ser ratificada pel Congrés dels Diputats el 13 de setembre de 2021, considerant que es mantenen les condicions d'excepcionalitat que justifiquen mantenir suspeses les regles fiscals en 2022. D'aquesta manera, amb l'apreciació adoptada per la majoria absoluta del Congrés i amb efectivitat des d'aquest dia en què es va prendre l'acord, es mantenen suspesos durant l'exercici 2022, els objectius d'estabilitat i deute, així com la regla de despesa</w:t>
      </w:r>
      <w:r>
        <w:rPr>
          <w:rFonts w:eastAsia="Verdana" w:cs="Arial" w:ascii="Arial" w:hAnsi="Arial"/>
          <w:color w:val="C00000"/>
          <w:sz w:val="22"/>
          <w:szCs w:val="22"/>
          <w:lang w:eastAsia="en-US"/>
        </w:rPr>
        <w:t>.</w:t>
      </w:r>
    </w:p>
    <w:p>
      <w:pPr>
        <w:pStyle w:val="Normal"/>
        <w:spacing w:lineRule="auto" w:line="360"/>
        <w:ind w:firstLine="708"/>
        <w:jc w:val="both"/>
        <w:rPr>
          <w:rFonts w:ascii="Calibri" w:hAnsi="Calibri" w:eastAsia="Batang" w:cs="Calibri"/>
          <w:bCs/>
          <w:strike/>
          <w:sz w:val="22"/>
          <w:szCs w:val="22"/>
          <w:lang w:eastAsia="ko-KR"/>
        </w:rPr>
      </w:pPr>
      <w:r>
        <w:rPr>
          <w:rFonts w:eastAsia="Batang" w:cs="Calibri" w:ascii="Calibri" w:hAnsi="Calibri"/>
          <w:bCs/>
          <w:strike/>
          <w:sz w:val="22"/>
          <w:szCs w:val="22"/>
          <w:lang w:eastAsia="ko-KR"/>
        </w:rPr>
      </w:r>
    </w:p>
    <w:p>
      <w:pPr>
        <w:pStyle w:val="Normal"/>
        <w:spacing w:lineRule="auto" w:line="360"/>
        <w:ind w:firstLine="708"/>
        <w:jc w:val="both"/>
        <w:rPr>
          <w:rFonts w:ascii="Calibri" w:hAnsi="Calibri" w:eastAsia="Batang" w:cs="Calibri"/>
          <w:bCs/>
          <w:sz w:val="22"/>
          <w:szCs w:val="22"/>
          <w:lang w:eastAsia="ko-KR"/>
        </w:rPr>
      </w:pPr>
      <w:r>
        <w:rPr>
          <w:rFonts w:eastAsia="Batang" w:cs="Calibri" w:ascii="Calibri" w:hAnsi="Calibri"/>
          <w:bCs/>
          <w:sz w:val="22"/>
          <w:szCs w:val="22"/>
          <w:lang w:eastAsia="ko-KR"/>
        </w:rPr>
      </w:r>
    </w:p>
    <w:p>
      <w:pPr>
        <w:pStyle w:val="Normal"/>
        <w:spacing w:lineRule="auto" w:line="360"/>
        <w:ind w:firstLine="708"/>
        <w:jc w:val="both"/>
        <w:rPr>
          <w:rFonts w:ascii="Calibri" w:hAnsi="Calibri" w:eastAsia="Batang" w:cs="Calibri"/>
          <w:bCs/>
          <w:sz w:val="22"/>
          <w:szCs w:val="22"/>
          <w:lang w:eastAsia="ko-KR"/>
        </w:rPr>
      </w:pPr>
      <w:r>
        <w:rPr>
          <w:rFonts w:eastAsia="Batang" w:cs="Calibri" w:ascii="Calibri" w:hAnsi="Calibri"/>
          <w:bCs/>
          <w:sz w:val="22"/>
          <w:szCs w:val="22"/>
          <w:lang w:eastAsia="ko-KR"/>
        </w:rPr>
        <w:t>La suspensió de les regles fiscals no suposa que desaparegui la responsabilitat fiscal:</w:t>
      </w:r>
    </w:p>
    <w:p>
      <w:pPr>
        <w:pStyle w:val="Normal"/>
        <w:spacing w:lineRule="auto" w:line="360"/>
        <w:ind w:firstLine="708"/>
        <w:jc w:val="both"/>
        <w:rPr>
          <w:rFonts w:ascii="Calibri" w:hAnsi="Calibri" w:eastAsia="Batang" w:cs="Calibri"/>
          <w:bCs/>
          <w:sz w:val="22"/>
          <w:szCs w:val="22"/>
          <w:lang w:eastAsia="ko-KR"/>
        </w:rPr>
      </w:pPr>
      <w:r>
        <w:rPr>
          <w:rFonts w:eastAsia="Batang" w:cs="Calibri" w:ascii="Calibri" w:hAnsi="Calibri"/>
          <w:bCs/>
          <w:sz w:val="22"/>
          <w:szCs w:val="22"/>
          <w:lang w:eastAsia="ko-KR"/>
        </w:rPr>
      </w:r>
    </w:p>
    <w:p>
      <w:pPr>
        <w:pStyle w:val="ListParagraph"/>
        <w:numPr>
          <w:ilvl w:val="0"/>
          <w:numId w:val="3"/>
        </w:numPr>
        <w:spacing w:lineRule="auto" w:line="360"/>
        <w:jc w:val="both"/>
        <w:rPr>
          <w:rFonts w:ascii="Calibri" w:hAnsi="Calibri" w:eastAsia="Batang" w:cs="Calibri"/>
          <w:bCs/>
          <w:sz w:val="22"/>
          <w:szCs w:val="22"/>
          <w:lang w:eastAsia="ko-KR"/>
        </w:rPr>
      </w:pPr>
      <w:r>
        <w:rPr>
          <w:rFonts w:eastAsia="Batang" w:cs="Calibri" w:ascii="Calibri" w:hAnsi="Calibri"/>
          <w:bCs/>
          <w:sz w:val="22"/>
          <w:szCs w:val="22"/>
          <w:lang w:eastAsia="ko-KR"/>
        </w:rPr>
        <w:t xml:space="preserve">No es suspèn l’aplicació de la normativa en relació al Reial decret legislatiu 2/2004, de 5 de març, pel qual s'aprova el text refós de la Llei Reguladora de les Hisendes Local i la Llei Orgànica d’estabilitat pressupostaria i sostenibilitat financera. </w:t>
      </w:r>
    </w:p>
    <w:p>
      <w:pPr>
        <w:pStyle w:val="ListParagraph"/>
        <w:spacing w:lineRule="auto" w:line="360"/>
        <w:ind w:left="1068" w:hanging="0"/>
        <w:jc w:val="both"/>
        <w:rPr>
          <w:rFonts w:ascii="Calibri" w:hAnsi="Calibri" w:eastAsia="Batang" w:cs="Calibri"/>
          <w:bCs/>
          <w:sz w:val="22"/>
          <w:szCs w:val="22"/>
          <w:lang w:eastAsia="ko-KR"/>
        </w:rPr>
      </w:pPr>
      <w:r>
        <w:rPr>
          <w:rFonts w:eastAsia="Batang" w:cs="Calibri" w:ascii="Calibri" w:hAnsi="Calibri"/>
          <w:bCs/>
          <w:sz w:val="22"/>
          <w:szCs w:val="22"/>
          <w:lang w:eastAsia="ko-KR"/>
        </w:rPr>
      </w:r>
    </w:p>
    <w:p>
      <w:pPr>
        <w:pStyle w:val="ListParagraph"/>
        <w:numPr>
          <w:ilvl w:val="0"/>
          <w:numId w:val="3"/>
        </w:numPr>
        <w:spacing w:lineRule="auto" w:line="360"/>
        <w:jc w:val="both"/>
        <w:rPr>
          <w:rFonts w:ascii="Calibri" w:hAnsi="Calibri" w:eastAsia="Batang" w:cs="Calibri"/>
          <w:bCs/>
          <w:sz w:val="22"/>
          <w:szCs w:val="22"/>
          <w:lang w:eastAsia="ko-KR"/>
        </w:rPr>
      </w:pPr>
      <w:r>
        <w:rPr>
          <w:rFonts w:eastAsia="Batang" w:cs="Calibri" w:ascii="Calibri" w:hAnsi="Calibri"/>
          <w:bCs/>
          <w:sz w:val="22"/>
          <w:szCs w:val="22"/>
          <w:lang w:eastAsia="ko-KR"/>
        </w:rPr>
        <w:t xml:space="preserve">Com principi de prudència de la gestió pressupostària i financera cal avaluar l’estabilitat pressupostària en termes de comptabilitat nacional, en la liquidació del pressupost. </w:t>
      </w:r>
    </w:p>
    <w:p>
      <w:pPr>
        <w:pStyle w:val="Normal"/>
        <w:jc w:val="both"/>
        <w:rPr>
          <w:rFonts w:ascii="Calibri" w:hAnsi="Calibri" w:eastAsia="Batang" w:cs="Calibri"/>
          <w:b/>
          <w:b/>
          <w:sz w:val="22"/>
          <w:szCs w:val="22"/>
          <w:lang w:eastAsia="ko-KR"/>
        </w:rPr>
      </w:pPr>
      <w:r>
        <w:rPr>
          <w:rFonts w:eastAsia="Batang" w:cs="Calibri" w:ascii="Calibri" w:hAnsi="Calibri"/>
          <w:b/>
          <w:sz w:val="22"/>
          <w:szCs w:val="22"/>
          <w:lang w:eastAsia="ko-KR"/>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both"/>
        <w:rPr>
          <w:rFonts w:ascii="Calibri" w:hAnsi="Calibri" w:eastAsia="Batang" w:cs="Calibri"/>
          <w:b/>
          <w:b/>
          <w:sz w:val="22"/>
          <w:szCs w:val="22"/>
          <w:u w:val="single"/>
          <w:lang w:eastAsia="ko-KR"/>
        </w:rPr>
      </w:pPr>
      <w:r>
        <w:rPr>
          <w:rFonts w:eastAsia="Batang" w:cs="Calibri" w:ascii="Calibri" w:hAnsi="Calibri"/>
          <w:b/>
          <w:sz w:val="22"/>
          <w:szCs w:val="22"/>
          <w:u w:val="single"/>
          <w:lang w:eastAsia="ko-KR"/>
        </w:rPr>
        <w:t>Principis bàsics de la Llei</w:t>
      </w:r>
    </w:p>
    <w:p>
      <w:pPr>
        <w:pStyle w:val="Normal"/>
        <w:jc w:val="both"/>
        <w:rPr>
          <w:rFonts w:ascii="Calibri" w:hAnsi="Calibri" w:eastAsia="Batang" w:cs="Calibri"/>
          <w:b/>
          <w:b/>
          <w:sz w:val="22"/>
          <w:szCs w:val="22"/>
          <w:u w:val="single"/>
          <w:lang w:eastAsia="ko-KR"/>
        </w:rPr>
      </w:pPr>
      <w:r>
        <w:rPr>
          <w:rFonts w:eastAsia="Batang" w:cs="Calibri" w:ascii="Calibri" w:hAnsi="Calibri"/>
          <w:b/>
          <w:sz w:val="22"/>
          <w:szCs w:val="22"/>
          <w:u w:val="single"/>
          <w:lang w:eastAsia="ko-KR"/>
        </w:rPr>
      </w:r>
    </w:p>
    <w:p>
      <w:pPr>
        <w:pStyle w:val="Normal"/>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 xml:space="preserve">L'elaboració, aprovació i execució dels Pressupostos i altres actuacions que afectin a les despeses o ingressos de les Corporacions Locals es sotmetrà </w:t>
      </w:r>
      <w:r>
        <w:rPr>
          <w:rFonts w:eastAsia="Batang" w:cs="Calibri" w:ascii="Calibri" w:hAnsi="Calibri"/>
          <w:b/>
          <w:sz w:val="22"/>
          <w:szCs w:val="22"/>
          <w:lang w:eastAsia="ko-KR"/>
        </w:rPr>
        <w:t>al principi d'estabilitat pressupostària</w:t>
      </w:r>
      <w:r>
        <w:rPr>
          <w:rFonts w:eastAsia="Batang" w:cs="Calibri" w:ascii="Calibri" w:hAnsi="Calibri"/>
          <w:sz w:val="22"/>
          <w:szCs w:val="22"/>
          <w:lang w:eastAsia="ko-KR"/>
        </w:rPr>
        <w:t xml:space="preserve"> i hauran de mantenir una posició d'equilibri o  superàvit pressupostari.  </w:t>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 xml:space="preserve">L’Ajuntament està subjecte al </w:t>
      </w:r>
      <w:r>
        <w:rPr>
          <w:rFonts w:eastAsia="Batang" w:cs="Calibri" w:ascii="Calibri" w:hAnsi="Calibri"/>
          <w:b/>
          <w:sz w:val="22"/>
          <w:szCs w:val="22"/>
          <w:lang w:eastAsia="ko-KR"/>
        </w:rPr>
        <w:t>principi de sostenibilitat financera</w:t>
      </w:r>
      <w:r>
        <w:rPr>
          <w:rFonts w:eastAsia="Batang" w:cs="Calibri" w:ascii="Calibri" w:hAnsi="Calibri"/>
          <w:sz w:val="22"/>
          <w:szCs w:val="22"/>
          <w:lang w:eastAsia="ko-KR"/>
        </w:rPr>
        <w:t xml:space="preserve">, suficient per finançar compromisos de la despesa de l’exercici corrent i futurs dins del límit de dèficit i deute públic conforme a l’establert en la Llei Orgànica 2/2012, de 27 d’abril. </w:t>
      </w:r>
    </w:p>
    <w:p>
      <w:pPr>
        <w:pStyle w:val="Normal"/>
        <w:jc w:val="both"/>
        <w:rPr>
          <w:rFonts w:ascii="Calibri" w:hAnsi="Calibri" w:eastAsia="Batang" w:cs="Calibri"/>
          <w:lang w:eastAsia="ko-KR"/>
        </w:rPr>
      </w:pPr>
      <w:r>
        <w:rPr>
          <w:rFonts w:eastAsia="Batang" w:cs="Calibri" w:ascii="Calibri" w:hAnsi="Calibri"/>
          <w:lang w:eastAsia="ko-KR"/>
        </w:rPr>
      </w:r>
    </w:p>
    <w:p>
      <w:pPr>
        <w:pStyle w:val="Normal"/>
        <w:jc w:val="both"/>
        <w:rPr>
          <w:rFonts w:ascii="Calibri" w:hAnsi="Calibri" w:eastAsia="Batang" w:cs="Calibri"/>
          <w:lang w:eastAsia="ko-KR"/>
        </w:rPr>
      </w:pPr>
      <w:r>
        <w:rPr>
          <w:rFonts w:eastAsia="Batang" w:cs="Calibri" w:ascii="Calibri" w:hAnsi="Calibri"/>
          <w:lang w:eastAsia="ko-KR"/>
        </w:rPr>
        <w:t xml:space="preserve">La Llei Orgànica 2/2012, en el seu article 4, estableix el següent: </w:t>
      </w:r>
    </w:p>
    <w:p>
      <w:pPr>
        <w:pStyle w:val="Pa11"/>
        <w:spacing w:before="160" w:after="160"/>
        <w:ind w:left="900" w:hanging="340"/>
        <w:jc w:val="both"/>
        <w:rPr>
          <w:color w:val="000000"/>
          <w:sz w:val="20"/>
          <w:szCs w:val="20"/>
          <w:lang w:val="ca-ES"/>
        </w:rPr>
      </w:pPr>
      <w:r>
        <w:rPr>
          <w:color w:val="000000"/>
          <w:sz w:val="20"/>
          <w:szCs w:val="20"/>
          <w:lang w:val="ca-ES"/>
        </w:rPr>
      </w:r>
    </w:p>
    <w:p>
      <w:pPr>
        <w:pStyle w:val="Pa11"/>
        <w:spacing w:before="160" w:after="160"/>
        <w:ind w:left="900" w:hanging="340"/>
        <w:jc w:val="both"/>
        <w:rPr>
          <w:color w:val="000000"/>
          <w:sz w:val="20"/>
          <w:szCs w:val="20"/>
        </w:rPr>
      </w:pPr>
      <w:r>
        <w:rPr>
          <w:color w:val="000000"/>
          <w:sz w:val="20"/>
          <w:szCs w:val="20"/>
        </w:rPr>
        <w:t xml:space="preserve">«Artículo 4. </w:t>
      </w:r>
      <w:r>
        <w:rPr>
          <w:i/>
          <w:iCs/>
          <w:color w:val="000000"/>
          <w:sz w:val="20"/>
          <w:szCs w:val="20"/>
        </w:rPr>
        <w:t>Principio de sostenibilidad financiera.</w:t>
      </w:r>
    </w:p>
    <w:p>
      <w:pPr>
        <w:pStyle w:val="Pa12"/>
        <w:ind w:left="560" w:firstLine="340"/>
        <w:jc w:val="both"/>
        <w:rPr>
          <w:color w:val="000000"/>
          <w:sz w:val="20"/>
          <w:szCs w:val="20"/>
        </w:rPr>
      </w:pPr>
      <w:r>
        <w:rPr>
          <w:color w:val="000000"/>
          <w:sz w:val="20"/>
          <w:szCs w:val="20"/>
        </w:rPr>
        <w:t>1. Las actuaciones de las Administraciones Públicas y demás sujetos comprendidos en el ámbito de aplicación de esta Ley estarán sujetas al principio de sostenibilidad financiera.</w:t>
      </w:r>
    </w:p>
    <w:p>
      <w:pPr>
        <w:pStyle w:val="Pa12"/>
        <w:ind w:left="560" w:firstLine="340"/>
        <w:jc w:val="both"/>
        <w:rPr>
          <w:color w:val="000000"/>
          <w:sz w:val="20"/>
          <w:szCs w:val="20"/>
        </w:rPr>
      </w:pPr>
      <w:r>
        <w:rPr>
          <w:color w:val="000000"/>
          <w:sz w:val="20"/>
          <w:szCs w:val="20"/>
        </w:rPr>
        <w:t xml:space="preserve">2. Se entenderá por sostenibilidad financiera la capacidad para financiar compromisos de gasto presentes y futuros dentro de los límites de déficit, deuda pública y morosidad de deuda comercial conforme a lo establecido en esta Ley, la normativa sobre morosidad y en la normativa europea. </w:t>
      </w:r>
    </w:p>
    <w:p>
      <w:pPr>
        <w:pStyle w:val="Default"/>
        <w:rPr/>
      </w:pPr>
      <w:r>
        <w:rPr/>
      </w:r>
    </w:p>
    <w:p>
      <w:pPr>
        <w:pStyle w:val="Pa12"/>
        <w:ind w:left="560" w:firstLine="340"/>
        <w:jc w:val="both"/>
        <w:rPr>
          <w:rFonts w:ascii="Calibri" w:hAnsi="Calibri" w:eastAsia="Batang" w:cs="Calibri"/>
          <w:lang w:val="es-ES_tradnl" w:eastAsia="ko-KR"/>
        </w:rPr>
      </w:pPr>
      <w:r>
        <w:rPr>
          <w:sz w:val="20"/>
          <w:szCs w:val="20"/>
          <w:lang w:val="es-ES_tradnl"/>
        </w:rPr>
        <w:t>Se entiende que existe sostenibilidad de la deuda comercial, cuando el periodo medio de pago a los proveedores no supere el plazo máximo previsto en la normativa sobre morosidad.»</w:t>
      </w:r>
    </w:p>
    <w:p>
      <w:pPr>
        <w:pStyle w:val="Normal"/>
        <w:jc w:val="both"/>
        <w:rPr>
          <w:rFonts w:ascii="Calibri" w:hAnsi="Calibri" w:eastAsia="Batang" w:cs="Calibri"/>
          <w:lang w:eastAsia="ko-KR"/>
        </w:rPr>
      </w:pPr>
      <w:r>
        <w:rPr>
          <w:rFonts w:eastAsia="Batang" w:cs="Calibri" w:ascii="Calibri" w:hAnsi="Calibri"/>
          <w:lang w:eastAsia="ko-KR"/>
        </w:rPr>
      </w:r>
    </w:p>
    <w:p>
      <w:pPr>
        <w:pStyle w:val="Normal"/>
        <w:spacing w:lineRule="auto" w:line="360" w:before="240" w:after="240"/>
        <w:ind w:firstLine="709"/>
        <w:jc w:val="both"/>
        <w:rPr>
          <w:rFonts w:ascii="Calibri" w:hAnsi="Calibri" w:eastAsia="Verdana" w:cs="Calibri" w:asciiTheme="minorHAnsi" w:cstheme="minorHAnsi" w:hAnsiTheme="minorHAnsi"/>
          <w:sz w:val="22"/>
          <w:szCs w:val="22"/>
        </w:rPr>
      </w:pPr>
      <w:r>
        <w:rPr>
          <w:rFonts w:eastAsia="Batang" w:cs="Calibri" w:ascii="Calibri" w:hAnsi="Calibri"/>
          <w:sz w:val="22"/>
          <w:szCs w:val="22"/>
          <w:lang w:eastAsia="ko-KR"/>
        </w:rPr>
        <w:t>No obstant, s’</w:t>
      </w:r>
      <w:r>
        <w:rPr>
          <w:rFonts w:eastAsia="Verdana" w:cs="Calibri" w:ascii="Calibri" w:hAnsi="Calibri" w:asciiTheme="minorHAnsi" w:cstheme="minorHAnsi" w:hAnsiTheme="minorHAnsi"/>
          <w:sz w:val="22"/>
          <w:szCs w:val="22"/>
        </w:rPr>
        <w:t>haurà de tenir en compte que amb l'objectiu d'atendre a l'excepcional context actual derivat de la pandèmia del COVID-19 el Govern ha suspès amb caràcter extraordinari per als exercicis 2020-2022 les regles fiscals en quant al compliment de l'estabilitat pressupostària, el límit de deute i la regla de despesa.</w:t>
      </w:r>
    </w:p>
    <w:p>
      <w:pPr>
        <w:pStyle w:val="Normal"/>
        <w:spacing w:lineRule="auto" w:line="360"/>
        <w:jc w:val="both"/>
        <w:rPr>
          <w:rFonts w:ascii="Calibri" w:hAnsi="Calibri" w:eastAsia="Batang" w:cs="Calibri"/>
          <w:lang w:eastAsia="ko-KR"/>
        </w:rPr>
      </w:pPr>
      <w:r>
        <w:rPr>
          <w:rFonts w:eastAsia="Batang" w:cs="Calibri" w:ascii="Calibri" w:hAnsi="Calibri"/>
          <w:lang w:eastAsia="ko-KR"/>
        </w:rPr>
      </w:r>
    </w:p>
    <w:p>
      <w:pPr>
        <w:pStyle w:val="Normal"/>
        <w:spacing w:lineRule="auto" w:line="360"/>
        <w:ind w:firstLine="560"/>
        <w:jc w:val="both"/>
        <w:rPr>
          <w:rFonts w:ascii="Calibri" w:hAnsi="Calibri" w:eastAsia="Batang" w:cs="Calibri"/>
          <w:b/>
          <w:b/>
          <w:sz w:val="22"/>
          <w:szCs w:val="22"/>
          <w:lang w:eastAsia="ko-KR"/>
        </w:rPr>
      </w:pPr>
      <w:r>
        <w:rPr>
          <w:rFonts w:eastAsia="Batang" w:cs="Calibri" w:ascii="Calibri" w:hAnsi="Calibri"/>
          <w:sz w:val="22"/>
          <w:szCs w:val="22"/>
          <w:lang w:eastAsia="ko-KR"/>
        </w:rPr>
        <w:t xml:space="preserve">L’elaboració dels pressupostos s’efectuaran en un marc pressupostari a mig termini, compatible amb el principi d’anualitat pel qual s’aproven i executen els pressupostos </w:t>
      </w:r>
      <w:r>
        <w:rPr>
          <w:rFonts w:eastAsia="Batang" w:cs="Calibri" w:ascii="Calibri" w:hAnsi="Calibri"/>
          <w:b/>
          <w:sz w:val="22"/>
          <w:szCs w:val="22"/>
          <w:lang w:eastAsia="ko-KR"/>
        </w:rPr>
        <w:t>d’acord al principi de plurianualitat .</w:t>
      </w:r>
    </w:p>
    <w:p>
      <w:pPr>
        <w:pStyle w:val="Normal"/>
        <w:spacing w:lineRule="auto" w:line="360"/>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b/>
          <w:sz w:val="22"/>
          <w:szCs w:val="22"/>
          <w:lang w:eastAsia="ko-KR"/>
        </w:rPr>
        <w:t>El principi de transparència</w:t>
      </w:r>
      <w:r>
        <w:rPr>
          <w:rFonts w:eastAsia="Batang" w:cs="Calibri" w:ascii="Calibri" w:hAnsi="Calibri"/>
          <w:sz w:val="22"/>
          <w:szCs w:val="22"/>
          <w:lang w:eastAsia="ko-KR"/>
        </w:rPr>
        <w:t>, representarà que la comptabilitat, així com el Pressupost i Liquidació hauran de tenir la informació suficient i adequada per la seva verificació financera i compliment dels objectius principals d’aquesta Llei.</w:t>
      </w:r>
    </w:p>
    <w:p>
      <w:pPr>
        <w:pStyle w:val="Normal"/>
        <w:spacing w:lineRule="auto" w:line="360"/>
        <w:ind w:firstLine="708"/>
        <w:jc w:val="both"/>
        <w:rPr>
          <w:rFonts w:ascii="Calibri" w:hAnsi="Calibri" w:eastAsia="Batang" w:cs="Calibri"/>
          <w:lang w:eastAsia="ko-KR"/>
        </w:rPr>
      </w:pPr>
      <w:r>
        <w:rPr>
          <w:rFonts w:eastAsia="Batang" w:cs="Calibri" w:ascii="Calibri" w:hAnsi="Calibri"/>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 xml:space="preserve">Així mateix, cal tenir present els </w:t>
      </w:r>
      <w:r>
        <w:rPr>
          <w:rFonts w:eastAsia="Batang" w:cs="Calibri" w:ascii="Calibri" w:hAnsi="Calibri"/>
          <w:b/>
          <w:sz w:val="22"/>
          <w:szCs w:val="22"/>
          <w:lang w:eastAsia="ko-KR"/>
        </w:rPr>
        <w:t>principis d’eficiència en l’assignació i utilització dels recursos públics, de responsabilitat i el de lleialtat institucional</w:t>
      </w:r>
      <w:r>
        <w:rPr>
          <w:rFonts w:eastAsia="Batang" w:cs="Calibri" w:ascii="Calibri" w:hAnsi="Calibri"/>
          <w:sz w:val="22"/>
          <w:szCs w:val="22"/>
          <w:lang w:eastAsia="ko-KR"/>
        </w:rPr>
        <w:t>.</w:t>
      </w:r>
    </w:p>
    <w:p>
      <w:pPr>
        <w:pStyle w:val="Normal"/>
        <w:jc w:val="both"/>
        <w:rPr>
          <w:rFonts w:ascii="Calibri" w:hAnsi="Calibri" w:eastAsia="Batang" w:cs="Calibri"/>
          <w:sz w:val="22"/>
          <w:szCs w:val="22"/>
          <w:lang w:eastAsia="ko-KR"/>
        </w:rPr>
      </w:pPr>
      <w:r>
        <w:rPr>
          <w:rFonts w:eastAsia="Batang" w:cs="Calibri" w:ascii="Calibri" w:hAnsi="Calibri"/>
          <w:sz w:val="22"/>
          <w:szCs w:val="22"/>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b/>
          <w:sz w:val="22"/>
          <w:szCs w:val="22"/>
          <w:lang w:eastAsia="ko-KR"/>
        </w:rPr>
        <w:t>La regla de despesa</w:t>
      </w:r>
      <w:r>
        <w:rPr>
          <w:rFonts w:eastAsia="Batang" w:cs="Calibri" w:ascii="Calibri" w:hAnsi="Calibri"/>
          <w:sz w:val="22"/>
          <w:szCs w:val="22"/>
          <w:lang w:eastAsia="ko-KR"/>
        </w:rPr>
        <w:t>,  com conseqüència de l’actual situació de crisi i corresponent decisió de la Comissió Europea d’aplicar la clàusula general de salvaguarda del Pacte d'Estabilitat i Creixement en 2020, que també es prorrogarà en 2022 i donat que el Consell de Ministres ha suspès la senda i els objectius d'estabilitat aprovats pel Govern al febrer 2020 i que han quedat absolutament desfasats per l'impacte de la crisi, no existeix una taxa de referència per aquest exercici 2022. De de tota manera , seguint les pautes recomanades de prudència fiscal i en relació a la despesa computable s’informa de els indicadors obtinguts respecte a l’exercici anterior.</w:t>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 xml:space="preserve"> </w:t>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S'entendrà per despesa computable, les ocupacions no financeres definides en termes del SEC, exclosos els interessos del deute, la despesa no discrecional en prestacions per desocupació, la part de la despesa finançada amb fons finalistes procedents de la Unió Europea o d'altres Administracions Públiques.</w:t>
      </w:r>
    </w:p>
    <w:p>
      <w:pPr>
        <w:pStyle w:val="Normal"/>
        <w:spacing w:lineRule="auto" w:line="360"/>
        <w:jc w:val="both"/>
        <w:rPr>
          <w:rFonts w:ascii="Calibri" w:hAnsi="Calibri" w:eastAsia="Batang" w:cs="Calibri"/>
          <w:lang w:eastAsia="ko-KR"/>
        </w:rPr>
      </w:pPr>
      <w:r>
        <w:rPr>
          <w:rFonts w:eastAsia="Batang" w:cs="Calibri" w:ascii="Calibri" w:hAnsi="Calibri"/>
          <w:lang w:eastAsia="ko-KR"/>
        </w:rPr>
      </w:r>
    </w:p>
    <w:p>
      <w:pPr>
        <w:pStyle w:val="Normal"/>
        <w:spacing w:lineRule="auto" w:line="360"/>
        <w:ind w:firstLine="708"/>
        <w:jc w:val="both"/>
        <w:rPr>
          <w:rFonts w:ascii="Calibri" w:hAnsi="Calibri" w:eastAsia="Batang" w:cs="Calibri"/>
          <w:sz w:val="22"/>
          <w:szCs w:val="22"/>
          <w:lang w:eastAsia="ko-KR"/>
        </w:rPr>
      </w:pPr>
      <w:r>
        <w:rPr>
          <w:rFonts w:eastAsia="Batang" w:cs="Calibri" w:ascii="Calibri" w:hAnsi="Calibri"/>
          <w:sz w:val="22"/>
          <w:szCs w:val="22"/>
          <w:lang w:eastAsia="ko-KR"/>
        </w:rPr>
        <w:t xml:space="preserve">Correspon al Ministeri d'Economia i Competitivitat calcular la taxa de referència de creixement del Producte Interior Brut de mig termini de l'economia espanyola, d'acord amb la metodologia utilitzada per la Comissió Europea en aplicació de la seva normativa. Aquesta taxa es publicarà en l'informe de situació de l'economia espanyola al que es refereix l'article 15.5 d'aquesta Llei. Serà la referència a tenir en compte per l'Administració Central i cadascuna de les Comunitats Autònomes i Corporacions Locals  en l'elaboració dels seus respectius Pressupostos. </w:t>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sz w:val="22"/>
          <w:szCs w:val="22"/>
        </w:rPr>
      </w:pPr>
      <w:r>
        <w:rPr>
          <w:rFonts w:cs="Calibri" w:ascii="Calibri" w:hAnsi="Calibri"/>
          <w:b/>
          <w:sz w:val="22"/>
          <w:szCs w:val="22"/>
        </w:rPr>
      </w:r>
    </w:p>
    <w:p>
      <w:pPr>
        <w:pStyle w:val="Normal"/>
        <w:jc w:val="center"/>
        <w:rPr>
          <w:rFonts w:ascii="Calibri" w:hAnsi="Calibri" w:cs="Calibri"/>
          <w:b/>
          <w:b/>
        </w:rPr>
      </w:pPr>
      <w:r>
        <w:rPr>
          <w:rFonts w:cs="Calibri" w:ascii="Calibri" w:hAnsi="Calibri"/>
          <w:b/>
        </w:rPr>
        <w:t>LIQUIDACIÓ PRESSUPOST 2022 DE L’AJUNTAMENT DE PETRA</w:t>
      </w:r>
    </w:p>
    <w:p>
      <w:pPr>
        <w:pStyle w:val="Normal"/>
        <w:jc w:val="center"/>
        <w:rPr>
          <w:rFonts w:ascii="Calibri" w:hAnsi="Calibri" w:cs="Calibri"/>
          <w:b/>
          <w:b/>
        </w:rPr>
      </w:pPr>
      <w:r>
        <w:rPr>
          <w:rFonts w:cs="Calibri" w:ascii="Calibri" w:hAnsi="Calibri"/>
          <w:b/>
        </w:rPr>
      </w:r>
    </w:p>
    <w:p>
      <w:pPr>
        <w:pStyle w:val="Normal"/>
        <w:spacing w:lineRule="auto" w:line="360" w:before="240" w:after="240"/>
        <w:ind w:firstLine="709"/>
        <w:jc w:val="both"/>
        <w:rPr>
          <w:rFonts w:ascii="Calibri" w:hAnsi="Calibri" w:eastAsia="Verdana" w:cs="Calibri" w:asciiTheme="minorHAnsi" w:cstheme="minorHAnsi" w:hAnsiTheme="minorHAnsi"/>
        </w:rPr>
      </w:pPr>
      <w:r>
        <w:rPr>
          <w:rFonts w:eastAsia="Verdana" w:cs="Calibri" w:ascii="Calibri" w:hAnsi="Calibri" w:asciiTheme="minorHAnsi" w:cstheme="minorHAnsi" w:hAnsiTheme="minorHAnsi"/>
          <w:sz w:val="22"/>
          <w:szCs w:val="22"/>
        </w:rPr>
        <w:t>La  suspensió de les regles fiscals,  no hauria de suposar la desaparició de la responsabilitat fiscal pel que fa a l'avaluació d'aquestes magnituds fiscals, per la qual cosa per prudència s’avalua l’estabilitat pressupostaria  amb motiu de l'aprovació de l'expedient de la liquidació del pressupost Municipal.</w:t>
      </w:r>
    </w:p>
    <w:p>
      <w:pPr>
        <w:pStyle w:val="Normal"/>
        <w:spacing w:lineRule="auto" w:line="360"/>
        <w:ind w:firstLine="708"/>
        <w:jc w:val="both"/>
        <w:rPr>
          <w:rFonts w:ascii="Calibri" w:hAnsi="Calibri" w:cs="Calibri"/>
          <w:sz w:val="22"/>
          <w:szCs w:val="22"/>
        </w:rPr>
      </w:pPr>
      <w:r>
        <w:rPr>
          <w:rFonts w:cs="Calibri" w:ascii="Calibri" w:hAnsi="Calibri"/>
          <w:sz w:val="22"/>
          <w:szCs w:val="22"/>
        </w:rPr>
        <w:t>Una vegada revisats els estats que formen la liquidació del  pressupost de l’exercici 2022, s’observa el següent:</w:t>
      </w:r>
    </w:p>
    <w:p>
      <w:pPr>
        <w:pStyle w:val="Normal"/>
        <w:spacing w:lineRule="auto" w:line="360"/>
        <w:ind w:firstLine="708"/>
        <w:jc w:val="both"/>
        <w:rPr>
          <w:rFonts w:ascii="Calibri" w:hAnsi="Calibri" w:cs="Calibri"/>
          <w:sz w:val="22"/>
          <w:szCs w:val="22"/>
        </w:rPr>
      </w:pPr>
      <w:r>
        <w:rPr>
          <w:rFonts w:cs="Calibri" w:ascii="Calibri" w:hAnsi="Calibri"/>
          <w:sz w:val="22"/>
          <w:szCs w:val="22"/>
        </w:rPr>
        <w:t xml:space="preserve">a) </w:t>
      </w:r>
      <w:r>
        <w:rPr>
          <w:rFonts w:cs="Calibri" w:ascii="Calibri" w:hAnsi="Calibri"/>
          <w:b/>
          <w:sz w:val="22"/>
          <w:szCs w:val="22"/>
        </w:rPr>
        <w:t xml:space="preserve">Respecte a la Regla de la Despesa, </w:t>
      </w:r>
      <w:r>
        <w:rPr>
          <w:rFonts w:cs="Calibri" w:ascii="Calibri" w:hAnsi="Calibri"/>
          <w:sz w:val="22"/>
          <w:szCs w:val="22"/>
        </w:rPr>
        <w:t>per determinar la despesa computable en la Regla de la despesa, s’han tingut en compte totes les despeses no financeres (capítols I a VII), descomptant-hi els interessos del deute a curt i llarg termini, les despeses realitzades durant l’exercici pendents d’aplicar al pressupost, altres (Especificar) i la consignació de les transferències d’administracions públiques de caire finalista.</w:t>
      </w:r>
    </w:p>
    <w:p>
      <w:pPr>
        <w:pStyle w:val="Normal"/>
        <w:spacing w:lineRule="auto" w:line="360"/>
        <w:ind w:firstLine="709"/>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tab/>
        <w:t>El següent quadre estableix que el percentatge d’increment respecte a la liquidació de l’exercici 2021, es situaria en un</w:t>
      </w:r>
      <w:r>
        <w:rPr>
          <w:rFonts w:cs="Calibri" w:ascii="Calibri" w:hAnsi="Calibri"/>
          <w:b/>
          <w:sz w:val="22"/>
          <w:szCs w:val="22"/>
        </w:rPr>
        <w:t xml:space="preserve"> 3,76 %.</w:t>
      </w:r>
    </w:p>
    <w:p>
      <w:pPr>
        <w:pStyle w:val="Normal"/>
        <w:spacing w:lineRule="auto" w:line="360"/>
        <w:ind w:firstLine="708"/>
        <w:jc w:val="both"/>
        <w:rPr>
          <w:rFonts w:ascii="Calibri" w:hAnsi="Calibri" w:cs="Calibri"/>
          <w:sz w:val="22"/>
          <w:szCs w:val="22"/>
        </w:rPr>
      </w:pPr>
      <w:r>
        <w:rPr>
          <w:rFonts w:cs="Calibri" w:ascii="Calibri" w:hAnsi="Calibri"/>
          <w:sz w:val="22"/>
          <w:szCs w:val="22"/>
        </w:rPr>
      </w:r>
    </w:p>
    <w:p>
      <w:pPr>
        <w:pStyle w:val="Normal"/>
        <w:widowControl w:val="false"/>
        <w:spacing w:lineRule="auto" w:line="360"/>
        <w:ind w:firstLine="709"/>
        <w:jc w:val="both"/>
        <w:rPr>
          <w:rFonts w:ascii="Calibri" w:hAnsi="Calibri" w:cs="Calibri"/>
          <w:sz w:val="22"/>
          <w:szCs w:val="22"/>
        </w:rPr>
      </w:pPr>
      <w:r>
        <w:rPr>
          <w:rFonts w:cs="Calibri" w:ascii="Calibri" w:hAnsi="Calibri"/>
          <w:sz w:val="22"/>
          <w:szCs w:val="22"/>
        </w:rPr>
        <w:t>D’aquesta manera, el quadre comparatiu que conté el detall de la regla de la despesa entre la liquidació 2022 i la liquidació 2021, és el següent:</w:t>
      </w:r>
    </w:p>
    <w:p>
      <w:pPr>
        <w:pStyle w:val="Normal"/>
        <w:spacing w:lineRule="auto" w:line="360"/>
        <w:ind w:firstLine="708"/>
        <w:jc w:val="center"/>
        <w:rPr>
          <w:rFonts w:ascii="Calibri" w:hAnsi="Calibri" w:cs="Calibri"/>
          <w:highlight w:val="yellow"/>
        </w:rPr>
      </w:pPr>
      <w:r>
        <w:rPr>
          <w:rFonts w:cs="Calibri" w:ascii="Calibri" w:hAnsi="Calibri"/>
          <w:highlight w:val="yellow"/>
        </w:rPr>
      </w:r>
    </w:p>
    <w:p>
      <w:pPr>
        <w:pStyle w:val="Normal"/>
        <w:spacing w:lineRule="auto" w:line="360"/>
        <w:ind w:firstLine="708"/>
        <w:jc w:val="center"/>
        <w:rPr>
          <w:rFonts w:ascii="Calibri" w:hAnsi="Calibri" w:cs="Calibri"/>
          <w:sz w:val="22"/>
          <w:szCs w:val="22"/>
        </w:rPr>
      </w:pPr>
      <w:r>
        <w:rPr/>
        <w:drawing>
          <wp:inline distT="0" distB="0" distL="0" distR="0">
            <wp:extent cx="6097905" cy="5432425"/>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6097905" cy="5432425"/>
                    </a:xfrm>
                    <a:prstGeom prst="rect">
                      <a:avLst/>
                    </a:prstGeom>
                  </pic:spPr>
                </pic:pic>
              </a:graphicData>
            </a:graphic>
          </wp:inline>
        </w:drawing>
      </w:r>
    </w:p>
    <w:p>
      <w:pPr>
        <w:pStyle w:val="Normal"/>
        <w:spacing w:lineRule="auto" w:line="360"/>
        <w:ind w:firstLine="708"/>
        <w:jc w:val="both"/>
        <w:rPr>
          <w:rFonts w:ascii="Calibri" w:hAnsi="Calibri" w:cs="Calibri"/>
          <w:sz w:val="22"/>
          <w:szCs w:val="22"/>
        </w:rPr>
      </w:pPr>
      <w:r>
        <w:rPr>
          <w:rFonts w:cs="Calibri" w:ascii="Calibri" w:hAnsi="Calibri"/>
          <w:sz w:val="22"/>
          <w:szCs w:val="22"/>
        </w:rPr>
      </w:r>
    </w:p>
    <w:p>
      <w:pPr>
        <w:pStyle w:val="Normal"/>
        <w:spacing w:lineRule="auto" w:line="360"/>
        <w:ind w:firstLine="708"/>
        <w:jc w:val="both"/>
        <w:rPr>
          <w:rFonts w:ascii="Calibri" w:hAnsi="Calibri" w:cs="Calibri"/>
          <w:sz w:val="22"/>
          <w:szCs w:val="22"/>
          <w:lang w:val="es-ES"/>
        </w:rPr>
      </w:pPr>
      <w:r>
        <w:rPr>
          <w:rFonts w:cs="Calibri" w:ascii="Calibri" w:hAnsi="Calibri"/>
          <w:sz w:val="22"/>
          <w:szCs w:val="22"/>
          <w:lang w:val="es-ES"/>
        </w:rPr>
      </w:r>
    </w:p>
    <w:p>
      <w:pPr>
        <w:pStyle w:val="Normal"/>
        <w:ind w:firstLine="708"/>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Respecte als ajustos realitzats en la liquidació 2022, en el càlcul SEC 2010, són els següents: </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firstLine="708"/>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u w:val="single"/>
        </w:rPr>
        <w:t>Ajust per despeses realitzades a l’exercici pendents d’aplicar al pressupost 2022</w:t>
      </w:r>
      <w:r>
        <w:rPr>
          <w:rFonts w:cs="Calibri" w:ascii="Calibri" w:hAnsi="Calibri" w:asciiTheme="minorHAnsi" w:cstheme="minorHAnsi" w:hAnsiTheme="minorHAnsi"/>
          <w:sz w:val="22"/>
          <w:szCs w:val="22"/>
        </w:rPr>
        <w:t>:</w:t>
      </w:r>
    </w:p>
    <w:p>
      <w:pPr>
        <w:pStyle w:val="Normal"/>
        <w:jc w:val="both"/>
        <w:rPr>
          <w:rFonts w:ascii="Calibri" w:hAnsi="Calibri" w:eastAsia="Batang" w:cs="Calibri" w:asciiTheme="minorHAnsi" w:cstheme="minorHAnsi" w:hAnsiTheme="minorHAnsi"/>
          <w:sz w:val="22"/>
          <w:szCs w:val="22"/>
          <w:lang w:eastAsia="ko-KR"/>
        </w:rPr>
      </w:pPr>
      <w:r>
        <w:rPr>
          <w:rFonts w:eastAsia="Batang" w:cs="Calibri" w:cstheme="minorHAnsi" w:ascii="Calibri" w:hAnsi="Calibri"/>
          <w:sz w:val="22"/>
          <w:szCs w:val="22"/>
          <w:lang w:eastAsia="ko-KR"/>
        </w:rPr>
      </w:r>
    </w:p>
    <w:p>
      <w:pPr>
        <w:pStyle w:val="Normal"/>
        <w:ind w:firstLine="360"/>
        <w:jc w:val="both"/>
        <w:rPr>
          <w:rFonts w:ascii="Calibri" w:hAnsi="Calibri" w:eastAsia="Batang" w:cs="Calibri" w:asciiTheme="minorHAnsi" w:cstheme="minorHAnsi" w:hAnsiTheme="minorHAnsi"/>
          <w:sz w:val="22"/>
          <w:szCs w:val="22"/>
          <w:lang w:eastAsia="ko-KR"/>
        </w:rPr>
      </w:pPr>
      <w:r>
        <w:rPr>
          <w:rFonts w:eastAsia="Batang" w:cs="Calibri" w:ascii="Calibri" w:hAnsi="Calibri" w:asciiTheme="minorHAnsi" w:cstheme="minorHAnsi" w:hAnsiTheme="minorHAnsi"/>
          <w:sz w:val="22"/>
          <w:szCs w:val="22"/>
          <w:lang w:eastAsia="ko-KR"/>
        </w:rPr>
        <w:t xml:space="preserve">El saldo de l'exercici anterior (a 31/12/2021) de 6.151.651,55 euros reflectit al compte 413 “Creditors per operacions pendents d’aplicar al pressupost” ha disminuït en 5.979.423,71 euros. Aquest import correspon a l’expedient extrajudicial aprovat en l’exercici 2022 per import de 6.151.282,39 € (Capítols I a IX) menys les despeses de l’exercici 2022 aplicades a aquest compte per import de 172.227,24 €. La diferència de 369,16 € correspon a despeses d’arqueig de l’exercici 2008 comptabilitzada inicialment al compte 413 i que enguany s’han traspassat al concepte no pressupostari  4491 en espera de regularització. </w:t>
      </w:r>
    </w:p>
    <w:p>
      <w:pPr>
        <w:pStyle w:val="Normal"/>
        <w:rPr>
          <w:rFonts w:ascii="Calibri" w:hAnsi="Calibri" w:eastAsia="Batang" w:cs="Calibri" w:asciiTheme="minorHAnsi" w:cstheme="minorHAnsi" w:hAnsiTheme="minorHAnsi"/>
          <w:sz w:val="22"/>
          <w:szCs w:val="22"/>
          <w:lang w:eastAsia="ko-KR"/>
        </w:rPr>
      </w:pPr>
      <w:r>
        <w:rPr>
          <w:rFonts w:eastAsia="Batang" w:cs="Calibri" w:cstheme="minorHAnsi" w:ascii="Calibri" w:hAnsi="Calibri"/>
          <w:sz w:val="22"/>
          <w:szCs w:val="22"/>
          <w:lang w:eastAsia="ko-KR"/>
        </w:rPr>
      </w:r>
    </w:p>
    <w:p>
      <w:pPr>
        <w:pStyle w:val="Normal"/>
        <w:rPr>
          <w:rFonts w:ascii="Calibri" w:hAnsi="Calibri" w:eastAsia="Batang" w:cs="Calibri" w:asciiTheme="minorHAnsi" w:cstheme="minorHAnsi" w:hAnsiTheme="minorHAnsi"/>
          <w:sz w:val="22"/>
          <w:szCs w:val="22"/>
          <w:highlight w:val="yellow"/>
          <w:lang w:eastAsia="ko-KR"/>
        </w:rPr>
      </w:pPr>
      <w:r>
        <w:rPr>
          <w:rFonts w:eastAsia="Batang" w:cs="Calibri" w:cstheme="minorHAnsi" w:ascii="Calibri" w:hAnsi="Calibri"/>
          <w:sz w:val="22"/>
          <w:szCs w:val="22"/>
          <w:highlight w:val="yellow"/>
          <w:lang w:eastAsia="ko-KR"/>
        </w:rPr>
      </w:r>
    </w:p>
    <w:p>
      <w:pPr>
        <w:pStyle w:val="PlainText"/>
        <w:ind w:firstLine="3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Els ajustos per conceptes, altres (especificar) correspon a les </w:t>
      </w:r>
      <w:r>
        <w:rPr>
          <w:rFonts w:cs="Calibri" w:ascii="Calibri" w:hAnsi="Calibri" w:asciiTheme="minorHAnsi" w:cstheme="minorHAnsi" w:hAnsiTheme="minorHAnsi"/>
          <w:b/>
          <w:bCs/>
          <w:sz w:val="22"/>
          <w:szCs w:val="22"/>
          <w:u w:val="single"/>
        </w:rPr>
        <w:t>desviacions negatives</w:t>
      </w:r>
      <w:r>
        <w:rPr>
          <w:rFonts w:cs="Calibri" w:ascii="Calibri" w:hAnsi="Calibri" w:asciiTheme="minorHAnsi" w:cstheme="minorHAnsi" w:hAnsiTheme="minorHAnsi"/>
          <w:sz w:val="22"/>
          <w:szCs w:val="22"/>
        </w:rPr>
        <w:t xml:space="preserve"> del projectes d’inversió següents: </w:t>
      </w:r>
    </w:p>
    <w:p>
      <w:pPr>
        <w:pStyle w:val="PlainText"/>
        <w:ind w:firstLine="36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lainText"/>
        <w:numPr>
          <w:ilvl w:val="0"/>
          <w:numId w:val="4"/>
        </w:numPr>
        <w:jc w:val="both"/>
        <w:rPr>
          <w:rFonts w:ascii="Arial" w:hAnsi="Arial" w:cs="Arial"/>
          <w:b/>
          <w:b/>
          <w:sz w:val="24"/>
          <w:szCs w:val="24"/>
        </w:rPr>
      </w:pPr>
      <w:r>
        <w:rPr>
          <w:rFonts w:cs="Calibri" w:ascii="Calibri" w:hAnsi="Calibri" w:asciiTheme="minorHAnsi" w:cstheme="minorHAnsi" w:hAnsiTheme="minorHAnsi"/>
          <w:b/>
          <w:sz w:val="22"/>
          <w:szCs w:val="22"/>
        </w:rPr>
        <w:t>Desviacions negatives:</w:t>
      </w:r>
    </w:p>
    <w:p>
      <w:pPr>
        <w:pStyle w:val="PlainText"/>
        <w:jc w:val="both"/>
        <w:rPr>
          <w:rFonts w:ascii="Arial" w:hAnsi="Arial" w:cs="Arial"/>
          <w:b/>
          <w:b/>
          <w:sz w:val="24"/>
          <w:szCs w:val="24"/>
        </w:rPr>
      </w:pPr>
      <w:r>
        <w:rPr>
          <w:rFonts w:cs="Arial" w:ascii="Arial" w:hAnsi="Arial"/>
          <w:b/>
          <w:sz w:val="24"/>
          <w:szCs w:val="24"/>
        </w:rPr>
      </w:r>
    </w:p>
    <w:p>
      <w:pPr>
        <w:pStyle w:val="PlainText"/>
        <w:jc w:val="both"/>
        <w:rPr>
          <w:rFonts w:ascii="Arial" w:hAnsi="Arial" w:cs="Arial"/>
          <w:b/>
          <w:b/>
          <w:sz w:val="24"/>
          <w:szCs w:val="24"/>
        </w:rPr>
      </w:pPr>
      <w:r>
        <w:rPr>
          <w:rFonts w:cs="Arial" w:ascii="Arial" w:hAnsi="Arial"/>
          <w:b/>
          <w:sz w:val="24"/>
          <w:szCs w:val="24"/>
        </w:rPr>
      </w:r>
    </w:p>
    <w:tbl>
      <w:tblPr>
        <w:tblW w:w="5000" w:type="pct"/>
        <w:jc w:val="center"/>
        <w:tblInd w:w="0" w:type="dxa"/>
        <w:tblLayout w:type="fixed"/>
        <w:tblCellMar>
          <w:top w:w="0" w:type="dxa"/>
          <w:left w:w="70" w:type="dxa"/>
          <w:bottom w:w="0" w:type="dxa"/>
          <w:right w:w="70" w:type="dxa"/>
        </w:tblCellMar>
        <w:tblLook w:firstRow="1" w:noVBand="1" w:lastRow="0" w:firstColumn="1" w:lastColumn="0" w:noHBand="0" w:val="04a0"/>
      </w:tblPr>
      <w:tblGrid>
        <w:gridCol w:w="1856"/>
        <w:gridCol w:w="3264"/>
        <w:gridCol w:w="1059"/>
        <w:gridCol w:w="1306"/>
        <w:gridCol w:w="1060"/>
        <w:gridCol w:w="1058"/>
      </w:tblGrid>
      <w:tr>
        <w:trPr>
          <w:trHeight w:val="735" w:hRule="atLeast"/>
        </w:trPr>
        <w:tc>
          <w:tcPr>
            <w:tcW w:w="1856" w:type="dxa"/>
            <w:tcBorders>
              <w:top w:val="single" w:sz="8" w:space="0" w:color="000000"/>
              <w:left w:val="single" w:sz="8" w:space="0" w:color="000000"/>
              <w:bottom w:val="single" w:sz="8" w:space="0" w:color="000000"/>
              <w:right w:val="single" w:sz="8" w:space="0" w:color="000000"/>
            </w:tcBorders>
            <w:shd w:color="auto" w:fill="F2F2F2" w:val="clear"/>
            <w:vAlign w:val="center"/>
          </w:tcPr>
          <w:p>
            <w:pPr>
              <w:pStyle w:val="Normal"/>
              <w:widowControl w:val="false"/>
              <w:jc w:val="center"/>
              <w:rPr>
                <w:rFonts w:ascii="Calibri" w:hAnsi="Calibri" w:cs="Calibri"/>
                <w:b/>
                <w:b/>
                <w:bCs/>
                <w:sz w:val="16"/>
                <w:szCs w:val="16"/>
                <w:lang w:val="es-ES" w:eastAsia="ca-ES"/>
              </w:rPr>
            </w:pPr>
            <w:bookmarkStart w:id="4" w:name="RANGE!A1%3AF15"/>
            <w:r>
              <w:rPr>
                <w:rFonts w:cs="Calibri" w:ascii="Calibri" w:hAnsi="Calibri"/>
                <w:b/>
                <w:bCs/>
                <w:sz w:val="16"/>
                <w:szCs w:val="16"/>
                <w:lang w:val="es-ES" w:eastAsia="ca-ES"/>
              </w:rPr>
              <w:t>APLICACIÓ PRESSUPOSTÀRIA</w:t>
            </w:r>
            <w:bookmarkEnd w:id="4"/>
          </w:p>
        </w:tc>
        <w:tc>
          <w:tcPr>
            <w:tcW w:w="3264" w:type="dxa"/>
            <w:tcBorders>
              <w:top w:val="single" w:sz="8" w:space="0" w:color="000000"/>
              <w:bottom w:val="single" w:sz="8" w:space="0" w:color="000000"/>
              <w:right w:val="single" w:sz="8" w:space="0" w:color="000000"/>
            </w:tcBorders>
            <w:shd w:color="auto" w:fill="F2F2F2" w:val="clear"/>
            <w:vAlign w:val="center"/>
          </w:tcPr>
          <w:p>
            <w:pPr>
              <w:pStyle w:val="Normal"/>
              <w:widowControl w:val="false"/>
              <w:jc w:val="center"/>
              <w:rPr>
                <w:rFonts w:ascii="Calibri" w:hAnsi="Calibri" w:cs="Calibri"/>
                <w:b/>
                <w:b/>
                <w:bCs/>
                <w:sz w:val="16"/>
                <w:szCs w:val="16"/>
                <w:lang w:val="es-ES" w:eastAsia="ca-ES"/>
              </w:rPr>
            </w:pPr>
            <w:r>
              <w:rPr>
                <w:rFonts w:cs="Calibri" w:ascii="Calibri" w:hAnsi="Calibri"/>
                <w:b/>
                <w:bCs/>
                <w:sz w:val="16"/>
                <w:szCs w:val="16"/>
                <w:lang w:val="es-ES" w:eastAsia="ca-ES"/>
              </w:rPr>
              <w:t>DESCRIPCIÓ</w:t>
            </w:r>
          </w:p>
        </w:tc>
        <w:tc>
          <w:tcPr>
            <w:tcW w:w="1059" w:type="dxa"/>
            <w:tcBorders>
              <w:top w:val="single" w:sz="8" w:space="0" w:color="000000"/>
              <w:bottom w:val="single" w:sz="8" w:space="0" w:color="000000"/>
              <w:right w:val="single" w:sz="8" w:space="0" w:color="000000"/>
            </w:tcBorders>
            <w:shd w:color="auto" w:fill="F2F2F2" w:val="clear"/>
            <w:vAlign w:val="center"/>
          </w:tcPr>
          <w:p>
            <w:pPr>
              <w:pStyle w:val="Normal"/>
              <w:widowControl w:val="false"/>
              <w:jc w:val="center"/>
              <w:rPr>
                <w:rFonts w:ascii="Calibri" w:hAnsi="Calibri" w:cs="Calibri"/>
                <w:b/>
                <w:b/>
                <w:bCs/>
                <w:sz w:val="16"/>
                <w:szCs w:val="16"/>
                <w:lang w:val="es-ES" w:eastAsia="ca-ES"/>
              </w:rPr>
            </w:pPr>
            <w:r>
              <w:rPr>
                <w:rFonts w:cs="Calibri" w:ascii="Calibri" w:hAnsi="Calibri"/>
                <w:b/>
                <w:bCs/>
                <w:sz w:val="16"/>
                <w:szCs w:val="16"/>
                <w:lang w:val="es-ES" w:eastAsia="ca-ES"/>
              </w:rPr>
              <w:t>ORN 2022</w:t>
            </w:r>
          </w:p>
        </w:tc>
        <w:tc>
          <w:tcPr>
            <w:tcW w:w="1306" w:type="dxa"/>
            <w:tcBorders>
              <w:top w:val="single" w:sz="8" w:space="0" w:color="000000"/>
              <w:bottom w:val="single" w:sz="8" w:space="0" w:color="000000"/>
              <w:right w:val="single" w:sz="8" w:space="0" w:color="000000"/>
            </w:tcBorders>
            <w:shd w:color="auto" w:fill="F2F2F2" w:val="clear"/>
            <w:vAlign w:val="center"/>
          </w:tcPr>
          <w:p>
            <w:pPr>
              <w:pStyle w:val="Normal"/>
              <w:widowControl w:val="false"/>
              <w:jc w:val="center"/>
              <w:rPr>
                <w:rFonts w:ascii="Calibri" w:hAnsi="Calibri" w:cs="Calibri"/>
                <w:b/>
                <w:b/>
                <w:bCs/>
                <w:sz w:val="16"/>
                <w:szCs w:val="16"/>
                <w:lang w:val="es-ES" w:eastAsia="ca-ES"/>
              </w:rPr>
            </w:pPr>
            <w:r>
              <w:rPr>
                <w:rFonts w:cs="Calibri" w:ascii="Calibri" w:hAnsi="Calibri"/>
                <w:b/>
                <w:bCs/>
                <w:sz w:val="16"/>
                <w:szCs w:val="16"/>
                <w:lang w:val="es-ES" w:eastAsia="ca-ES"/>
              </w:rPr>
              <w:t>DRN ANYS ANTERIORS SUBVENCIONS</w:t>
            </w:r>
          </w:p>
        </w:tc>
        <w:tc>
          <w:tcPr>
            <w:tcW w:w="1060" w:type="dxa"/>
            <w:tcBorders>
              <w:top w:val="single" w:sz="8" w:space="0" w:color="000000"/>
              <w:bottom w:val="single" w:sz="8" w:space="0" w:color="000000"/>
              <w:right w:val="single" w:sz="8" w:space="0" w:color="000000"/>
            </w:tcBorders>
            <w:shd w:color="auto" w:fill="F2F2F2" w:val="clear"/>
            <w:vAlign w:val="center"/>
          </w:tcPr>
          <w:p>
            <w:pPr>
              <w:pStyle w:val="Normal"/>
              <w:widowControl w:val="false"/>
              <w:jc w:val="center"/>
              <w:rPr>
                <w:rFonts w:ascii="Calibri" w:hAnsi="Calibri" w:cs="Calibri"/>
                <w:b/>
                <w:b/>
                <w:bCs/>
                <w:sz w:val="16"/>
                <w:szCs w:val="16"/>
                <w:lang w:val="es-ES" w:eastAsia="ca-ES"/>
              </w:rPr>
            </w:pPr>
            <w:r>
              <w:rPr>
                <w:rFonts w:cs="Calibri" w:ascii="Calibri" w:hAnsi="Calibri"/>
                <w:b/>
                <w:bCs/>
                <w:sz w:val="16"/>
                <w:szCs w:val="16"/>
                <w:lang w:val="es-ES" w:eastAsia="ca-ES"/>
              </w:rPr>
              <w:t>COEF.FIN. TOTAL INVERSIÓ</w:t>
            </w:r>
          </w:p>
        </w:tc>
        <w:tc>
          <w:tcPr>
            <w:tcW w:w="1058" w:type="dxa"/>
            <w:tcBorders>
              <w:top w:val="single" w:sz="8" w:space="0" w:color="000000"/>
              <w:bottom w:val="single" w:sz="8" w:space="0" w:color="000000"/>
              <w:right w:val="single" w:sz="8" w:space="0" w:color="000000"/>
            </w:tcBorders>
            <w:shd w:color="auto" w:fill="F2F2F2" w:val="clear"/>
            <w:vAlign w:val="center"/>
          </w:tcPr>
          <w:p>
            <w:pPr>
              <w:pStyle w:val="Normal"/>
              <w:widowControl w:val="false"/>
              <w:jc w:val="center"/>
              <w:rPr>
                <w:rFonts w:ascii="Calibri" w:hAnsi="Calibri" w:cs="Calibri"/>
                <w:b/>
                <w:b/>
                <w:bCs/>
                <w:sz w:val="16"/>
                <w:szCs w:val="16"/>
                <w:lang w:val="es-ES" w:eastAsia="ca-ES"/>
              </w:rPr>
            </w:pPr>
            <w:r>
              <w:rPr>
                <w:rFonts w:cs="Calibri" w:ascii="Calibri" w:hAnsi="Calibri"/>
                <w:b/>
                <w:bCs/>
                <w:sz w:val="16"/>
                <w:szCs w:val="16"/>
                <w:lang w:val="es-ES" w:eastAsia="ca-ES"/>
              </w:rPr>
              <w:t>DESVIACIÓ NEGATIVA</w:t>
            </w:r>
          </w:p>
        </w:tc>
      </w:tr>
      <w:tr>
        <w:trPr>
          <w:trHeight w:val="270" w:hRule="atLeast"/>
        </w:trPr>
        <w:tc>
          <w:tcPr>
            <w:tcW w:w="1856" w:type="dxa"/>
            <w:tcBorders>
              <w:left w:val="single" w:sz="8" w:space="0" w:color="000000"/>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 </w:t>
            </w:r>
          </w:p>
        </w:tc>
        <w:tc>
          <w:tcPr>
            <w:tcW w:w="3264" w:type="dxa"/>
            <w:tcBorders>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 </w:t>
            </w:r>
          </w:p>
        </w:tc>
        <w:tc>
          <w:tcPr>
            <w:tcW w:w="1059" w:type="dxa"/>
            <w:tcBorders>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 </w:t>
            </w:r>
          </w:p>
        </w:tc>
        <w:tc>
          <w:tcPr>
            <w:tcW w:w="1306" w:type="dxa"/>
            <w:tcBorders>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 </w:t>
            </w:r>
          </w:p>
        </w:tc>
        <w:tc>
          <w:tcPr>
            <w:tcW w:w="1060" w:type="dxa"/>
            <w:tcBorders>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 </w:t>
            </w:r>
          </w:p>
        </w:tc>
        <w:tc>
          <w:tcPr>
            <w:tcW w:w="1058" w:type="dxa"/>
            <w:tcBorders>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 </w:t>
            </w:r>
          </w:p>
        </w:tc>
      </w:tr>
      <w:tr>
        <w:trPr>
          <w:trHeight w:val="270" w:hRule="atLeast"/>
        </w:trPr>
        <w:tc>
          <w:tcPr>
            <w:tcW w:w="1856" w:type="dxa"/>
            <w:tcBorders>
              <w:left w:val="single" w:sz="8" w:space="0" w:color="000000"/>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01/1532/60902</w:t>
            </w:r>
          </w:p>
        </w:tc>
        <w:tc>
          <w:tcPr>
            <w:tcW w:w="3264" w:type="dxa"/>
            <w:tcBorders>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ADOQUINAT C/RECTORIA</w:t>
            </w:r>
          </w:p>
        </w:tc>
        <w:tc>
          <w:tcPr>
            <w:tcW w:w="1059"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54.786,65</w:t>
            </w:r>
          </w:p>
        </w:tc>
        <w:tc>
          <w:tcPr>
            <w:tcW w:w="1306"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248.978,20</w:t>
            </w:r>
          </w:p>
        </w:tc>
        <w:tc>
          <w:tcPr>
            <w:tcW w:w="1060" w:type="dxa"/>
            <w:tcBorders>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97,1%</w:t>
            </w:r>
          </w:p>
        </w:tc>
        <w:tc>
          <w:tcPr>
            <w:tcW w:w="1058"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53.195,92</w:t>
            </w:r>
          </w:p>
        </w:tc>
      </w:tr>
      <w:tr>
        <w:trPr>
          <w:trHeight w:val="270" w:hRule="atLeast"/>
        </w:trPr>
        <w:tc>
          <w:tcPr>
            <w:tcW w:w="1856" w:type="dxa"/>
            <w:tcBorders>
              <w:left w:val="single" w:sz="8" w:space="0" w:color="000000"/>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01/1532/61901</w:t>
            </w:r>
          </w:p>
        </w:tc>
        <w:tc>
          <w:tcPr>
            <w:tcW w:w="3264" w:type="dxa"/>
            <w:tcBorders>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ASFALTAT CAMINS</w:t>
            </w:r>
          </w:p>
        </w:tc>
        <w:tc>
          <w:tcPr>
            <w:tcW w:w="1059"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116.226,17</w:t>
            </w:r>
          </w:p>
        </w:tc>
        <w:tc>
          <w:tcPr>
            <w:tcW w:w="1306"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351.782,94</w:t>
            </w:r>
          </w:p>
        </w:tc>
        <w:tc>
          <w:tcPr>
            <w:tcW w:w="1060" w:type="dxa"/>
            <w:tcBorders>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80,8%</w:t>
            </w:r>
          </w:p>
        </w:tc>
        <w:tc>
          <w:tcPr>
            <w:tcW w:w="1058"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93.910,75</w:t>
            </w:r>
          </w:p>
        </w:tc>
      </w:tr>
      <w:tr>
        <w:trPr>
          <w:trHeight w:val="495" w:hRule="atLeast"/>
        </w:trPr>
        <w:tc>
          <w:tcPr>
            <w:tcW w:w="1856" w:type="dxa"/>
            <w:tcBorders>
              <w:left w:val="single" w:sz="8" w:space="0" w:color="000000"/>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VARIES PARTIDES CAPÍTOLS II i VI</w:t>
            </w:r>
          </w:p>
        </w:tc>
        <w:tc>
          <w:tcPr>
            <w:tcW w:w="3264" w:type="dxa"/>
            <w:tcBorders>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PAESC 2020-2021</w:t>
            </w:r>
          </w:p>
        </w:tc>
        <w:tc>
          <w:tcPr>
            <w:tcW w:w="1059"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77.736,69</w:t>
            </w:r>
          </w:p>
        </w:tc>
        <w:tc>
          <w:tcPr>
            <w:tcW w:w="1306"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75.199,90</w:t>
            </w:r>
          </w:p>
        </w:tc>
        <w:tc>
          <w:tcPr>
            <w:tcW w:w="1060" w:type="dxa"/>
            <w:tcBorders>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90,37%</w:t>
            </w:r>
          </w:p>
        </w:tc>
        <w:tc>
          <w:tcPr>
            <w:tcW w:w="1058" w:type="dxa"/>
            <w:tcBorders>
              <w:bottom w:val="single" w:sz="8" w:space="0" w:color="000000"/>
              <w:right w:val="single" w:sz="8" w:space="0" w:color="000000"/>
            </w:tcBorders>
            <w:shd w:color="auto" w:fill="auto" w:val="clear"/>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70.248,46</w:t>
            </w:r>
          </w:p>
        </w:tc>
      </w:tr>
      <w:tr>
        <w:trPr>
          <w:trHeight w:val="495" w:hRule="atLeast"/>
        </w:trPr>
        <w:tc>
          <w:tcPr>
            <w:tcW w:w="1856" w:type="dxa"/>
            <w:tcBorders>
              <w:left w:val="single" w:sz="8" w:space="0" w:color="000000"/>
              <w:bottom w:val="single" w:sz="8" w:space="0" w:color="000000"/>
              <w:right w:val="single" w:sz="8" w:space="0" w:color="000000"/>
            </w:tcBorders>
            <w:shd w:color="auto" w:fill="auto" w:val="clear"/>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01/330/63200</w:t>
            </w:r>
          </w:p>
        </w:tc>
        <w:tc>
          <w:tcPr>
            <w:tcW w:w="3264" w:type="dxa"/>
            <w:tcBorders>
              <w:bottom w:val="single" w:sz="8" w:space="0" w:color="000000"/>
              <w:right w:val="single" w:sz="8" w:space="0" w:color="000000"/>
            </w:tcBorders>
            <w:shd w:color="auto" w:fill="auto" w:val="clear"/>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REHABILITACIÓ  ZONA ESTACIÓ VELLA</w:t>
            </w:r>
          </w:p>
        </w:tc>
        <w:tc>
          <w:tcPr>
            <w:tcW w:w="1059" w:type="dxa"/>
            <w:tcBorders>
              <w:bottom w:val="single" w:sz="8" w:space="0" w:color="000000"/>
              <w:right w:val="single" w:sz="8" w:space="0" w:color="000000"/>
            </w:tcBorders>
            <w:shd w:color="auto" w:fill="auto" w:val="clear"/>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192.160,55</w:t>
            </w:r>
          </w:p>
        </w:tc>
        <w:tc>
          <w:tcPr>
            <w:tcW w:w="1306" w:type="dxa"/>
            <w:tcBorders>
              <w:bottom w:val="single" w:sz="8" w:space="0" w:color="000000"/>
              <w:right w:val="single" w:sz="8" w:space="0" w:color="000000"/>
            </w:tcBorders>
            <w:shd w:color="auto" w:fill="auto" w:val="clear"/>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297.647,86</w:t>
            </w:r>
          </w:p>
        </w:tc>
        <w:tc>
          <w:tcPr>
            <w:tcW w:w="1060" w:type="dxa"/>
            <w:tcBorders>
              <w:bottom w:val="single" w:sz="8" w:space="0" w:color="000000"/>
              <w:right w:val="single" w:sz="8" w:space="0" w:color="000000"/>
            </w:tcBorders>
            <w:shd w:color="auto" w:fill="auto" w:val="clear"/>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98,54%</w:t>
            </w:r>
          </w:p>
        </w:tc>
        <w:tc>
          <w:tcPr>
            <w:tcW w:w="1058" w:type="dxa"/>
            <w:tcBorders>
              <w:bottom w:val="single" w:sz="8" w:space="0" w:color="000000"/>
              <w:right w:val="single" w:sz="8" w:space="0" w:color="000000"/>
            </w:tcBorders>
            <w:shd w:color="auto" w:fill="auto" w:val="clear"/>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149.699,89</w:t>
            </w:r>
          </w:p>
        </w:tc>
      </w:tr>
      <w:tr>
        <w:trPr>
          <w:trHeight w:val="495" w:hRule="atLeast"/>
        </w:trPr>
        <w:tc>
          <w:tcPr>
            <w:tcW w:w="1856" w:type="dxa"/>
            <w:tcBorders>
              <w:left w:val="single" w:sz="8" w:space="0" w:color="000000"/>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VARIES PARTIDES CAPÍTOL I</w:t>
            </w:r>
          </w:p>
        </w:tc>
        <w:tc>
          <w:tcPr>
            <w:tcW w:w="3264" w:type="dxa"/>
            <w:tcBorders>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SOIB DONA 2020-2021</w:t>
            </w:r>
          </w:p>
        </w:tc>
        <w:tc>
          <w:tcPr>
            <w:tcW w:w="1059"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2.931,72</w:t>
            </w:r>
          </w:p>
        </w:tc>
        <w:tc>
          <w:tcPr>
            <w:tcW w:w="1306"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17.655,72</w:t>
            </w:r>
          </w:p>
        </w:tc>
        <w:tc>
          <w:tcPr>
            <w:tcW w:w="1060" w:type="dxa"/>
            <w:tcBorders>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100,00%</w:t>
            </w:r>
          </w:p>
        </w:tc>
        <w:tc>
          <w:tcPr>
            <w:tcW w:w="1058" w:type="dxa"/>
            <w:tcBorders>
              <w:bottom w:val="single" w:sz="8" w:space="0" w:color="000000"/>
              <w:right w:val="single" w:sz="8" w:space="0" w:color="000000"/>
            </w:tcBorders>
            <w:shd w:color="auto" w:fill="auto" w:val="clear"/>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2.931,72</w:t>
            </w:r>
          </w:p>
        </w:tc>
      </w:tr>
      <w:tr>
        <w:trPr>
          <w:trHeight w:val="270" w:hRule="atLeast"/>
        </w:trPr>
        <w:tc>
          <w:tcPr>
            <w:tcW w:w="1856" w:type="dxa"/>
            <w:tcBorders>
              <w:left w:val="single" w:sz="8" w:space="0" w:color="000000"/>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VARIES PARTIDES CAPÍTOL I</w:t>
            </w:r>
          </w:p>
        </w:tc>
        <w:tc>
          <w:tcPr>
            <w:tcW w:w="3264" w:type="dxa"/>
            <w:tcBorders>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SOIB REACTIVA 2021 ADM.</w:t>
            </w:r>
          </w:p>
        </w:tc>
        <w:tc>
          <w:tcPr>
            <w:tcW w:w="1059"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7.942,52</w:t>
            </w:r>
          </w:p>
        </w:tc>
        <w:tc>
          <w:tcPr>
            <w:tcW w:w="1306"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9.518,79</w:t>
            </w:r>
          </w:p>
        </w:tc>
        <w:tc>
          <w:tcPr>
            <w:tcW w:w="1060" w:type="dxa"/>
            <w:tcBorders>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100,00%</w:t>
            </w:r>
          </w:p>
        </w:tc>
        <w:tc>
          <w:tcPr>
            <w:tcW w:w="1058"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7.942,52</w:t>
            </w:r>
          </w:p>
        </w:tc>
      </w:tr>
      <w:tr>
        <w:trPr>
          <w:trHeight w:val="270" w:hRule="atLeast"/>
        </w:trPr>
        <w:tc>
          <w:tcPr>
            <w:tcW w:w="1856" w:type="dxa"/>
            <w:tcBorders>
              <w:left w:val="single" w:sz="8" w:space="0" w:color="000000"/>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VARIES PARTIDES CAPÍTOL I</w:t>
            </w:r>
          </w:p>
        </w:tc>
        <w:tc>
          <w:tcPr>
            <w:tcW w:w="3264" w:type="dxa"/>
            <w:tcBorders>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SOIB REACTIVA 2021 PEÓ</w:t>
            </w:r>
          </w:p>
        </w:tc>
        <w:tc>
          <w:tcPr>
            <w:tcW w:w="1059"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13.296,12</w:t>
            </w:r>
          </w:p>
        </w:tc>
        <w:tc>
          <w:tcPr>
            <w:tcW w:w="1306"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8.733,25</w:t>
            </w:r>
          </w:p>
        </w:tc>
        <w:tc>
          <w:tcPr>
            <w:tcW w:w="1060" w:type="dxa"/>
            <w:tcBorders>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59,32%</w:t>
            </w:r>
          </w:p>
        </w:tc>
        <w:tc>
          <w:tcPr>
            <w:tcW w:w="1058"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7.887,19</w:t>
            </w:r>
          </w:p>
        </w:tc>
      </w:tr>
      <w:tr>
        <w:trPr>
          <w:trHeight w:val="270" w:hRule="atLeast"/>
        </w:trPr>
        <w:tc>
          <w:tcPr>
            <w:tcW w:w="1856" w:type="dxa"/>
            <w:tcBorders>
              <w:left w:val="single" w:sz="8" w:space="0" w:color="000000"/>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01/342/21202</w:t>
            </w:r>
          </w:p>
        </w:tc>
        <w:tc>
          <w:tcPr>
            <w:tcW w:w="3264" w:type="dxa"/>
            <w:tcBorders>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MILLORES PLUVIALS I TANC.CAMP FUTBOL</w:t>
            </w:r>
          </w:p>
        </w:tc>
        <w:tc>
          <w:tcPr>
            <w:tcW w:w="1059"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14.266,03</w:t>
            </w:r>
          </w:p>
        </w:tc>
        <w:tc>
          <w:tcPr>
            <w:tcW w:w="1306"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10.000,00</w:t>
            </w:r>
          </w:p>
        </w:tc>
        <w:tc>
          <w:tcPr>
            <w:tcW w:w="1060" w:type="dxa"/>
            <w:tcBorders>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70,1%</w:t>
            </w:r>
          </w:p>
        </w:tc>
        <w:tc>
          <w:tcPr>
            <w:tcW w:w="1058"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10.000,00</w:t>
            </w:r>
          </w:p>
        </w:tc>
      </w:tr>
      <w:tr>
        <w:trPr>
          <w:trHeight w:val="270" w:hRule="atLeast"/>
        </w:trPr>
        <w:tc>
          <w:tcPr>
            <w:tcW w:w="1856" w:type="dxa"/>
            <w:tcBorders>
              <w:left w:val="single" w:sz="8" w:space="0" w:color="000000"/>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VARIES PARTIDES CAPÍTOLS II i VI</w:t>
            </w:r>
          </w:p>
        </w:tc>
        <w:tc>
          <w:tcPr>
            <w:tcW w:w="3264" w:type="dxa"/>
            <w:tcBorders>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MILLORES INSTAL·LACIONS ESPORTIVES</w:t>
            </w:r>
          </w:p>
        </w:tc>
        <w:tc>
          <w:tcPr>
            <w:tcW w:w="1059"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67.657,03</w:t>
            </w:r>
          </w:p>
        </w:tc>
        <w:tc>
          <w:tcPr>
            <w:tcW w:w="1306"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98.319,60</w:t>
            </w:r>
          </w:p>
        </w:tc>
        <w:tc>
          <w:tcPr>
            <w:tcW w:w="1060" w:type="dxa"/>
            <w:tcBorders>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96,19%</w:t>
            </w:r>
          </w:p>
        </w:tc>
        <w:tc>
          <w:tcPr>
            <w:tcW w:w="1058"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65.076,01</w:t>
            </w:r>
          </w:p>
        </w:tc>
      </w:tr>
      <w:tr>
        <w:trPr>
          <w:trHeight w:val="270" w:hRule="atLeast"/>
        </w:trPr>
        <w:tc>
          <w:tcPr>
            <w:tcW w:w="1856" w:type="dxa"/>
            <w:tcBorders>
              <w:left w:val="single" w:sz="8" w:space="0" w:color="000000"/>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 </w:t>
            </w:r>
          </w:p>
        </w:tc>
        <w:tc>
          <w:tcPr>
            <w:tcW w:w="3264" w:type="dxa"/>
            <w:tcBorders>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 </w:t>
            </w:r>
          </w:p>
        </w:tc>
        <w:tc>
          <w:tcPr>
            <w:tcW w:w="1059"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 </w:t>
            </w:r>
          </w:p>
        </w:tc>
        <w:tc>
          <w:tcPr>
            <w:tcW w:w="1306"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 </w:t>
            </w:r>
          </w:p>
        </w:tc>
        <w:tc>
          <w:tcPr>
            <w:tcW w:w="1060" w:type="dxa"/>
            <w:tcBorders>
              <w:bottom w:val="single" w:sz="8" w:space="0" w:color="000000"/>
              <w:right w:val="single" w:sz="8" w:space="0" w:color="000000"/>
            </w:tcBorders>
            <w:vAlign w:val="center"/>
          </w:tcPr>
          <w:p>
            <w:pPr>
              <w:pStyle w:val="Normal"/>
              <w:widowControl w:val="false"/>
              <w:jc w:val="center"/>
              <w:rPr>
                <w:rFonts w:ascii="Calibri" w:hAnsi="Calibri" w:cs="Calibri"/>
                <w:sz w:val="16"/>
                <w:szCs w:val="16"/>
                <w:lang w:val="es-ES" w:eastAsia="ca-ES"/>
              </w:rPr>
            </w:pPr>
            <w:r>
              <w:rPr>
                <w:rFonts w:cs="Calibri" w:ascii="Calibri" w:hAnsi="Calibri"/>
                <w:sz w:val="16"/>
                <w:szCs w:val="16"/>
                <w:lang w:val="es-ES" w:eastAsia="ca-ES"/>
              </w:rPr>
              <w:t> </w:t>
            </w:r>
          </w:p>
        </w:tc>
        <w:tc>
          <w:tcPr>
            <w:tcW w:w="1058" w:type="dxa"/>
            <w:tcBorders>
              <w:bottom w:val="single" w:sz="8" w:space="0" w:color="000000"/>
              <w:right w:val="single" w:sz="8" w:space="0" w:color="000000"/>
            </w:tcBorders>
            <w:vAlign w:val="center"/>
          </w:tcPr>
          <w:p>
            <w:pPr>
              <w:pStyle w:val="Normal"/>
              <w:widowControl w:val="false"/>
              <w:jc w:val="right"/>
              <w:rPr>
                <w:rFonts w:ascii="Calibri" w:hAnsi="Calibri" w:cs="Calibri"/>
                <w:sz w:val="16"/>
                <w:szCs w:val="16"/>
                <w:lang w:val="es-ES" w:eastAsia="ca-ES"/>
              </w:rPr>
            </w:pPr>
            <w:r>
              <w:rPr>
                <w:rFonts w:cs="Calibri" w:ascii="Calibri" w:hAnsi="Calibri"/>
                <w:sz w:val="16"/>
                <w:szCs w:val="16"/>
                <w:lang w:val="es-ES" w:eastAsia="ca-ES"/>
              </w:rPr>
              <w:t> </w:t>
            </w:r>
          </w:p>
        </w:tc>
      </w:tr>
      <w:tr>
        <w:trPr>
          <w:trHeight w:val="270" w:hRule="atLeast"/>
        </w:trPr>
        <w:tc>
          <w:tcPr>
            <w:tcW w:w="1856" w:type="dxa"/>
            <w:tcBorders>
              <w:left w:val="single" w:sz="8" w:space="0" w:color="000000"/>
              <w:bottom w:val="single" w:sz="8" w:space="0" w:color="000000"/>
              <w:right w:val="single" w:sz="8" w:space="0" w:color="000000"/>
            </w:tcBorders>
            <w:vAlign w:val="center"/>
          </w:tcPr>
          <w:p>
            <w:pPr>
              <w:pStyle w:val="Normal"/>
              <w:widowControl w:val="false"/>
              <w:jc w:val="both"/>
              <w:rPr>
                <w:rFonts w:ascii="Calibri" w:hAnsi="Calibri" w:cs="Calibri"/>
                <w:sz w:val="16"/>
                <w:szCs w:val="16"/>
                <w:lang w:val="es-ES" w:eastAsia="ca-ES"/>
              </w:rPr>
            </w:pPr>
            <w:r>
              <w:rPr>
                <w:rFonts w:cs="Calibri" w:ascii="Calibri" w:hAnsi="Calibri"/>
                <w:sz w:val="16"/>
                <w:szCs w:val="16"/>
                <w:lang w:val="es-ES" w:eastAsia="ca-ES"/>
              </w:rPr>
              <w:t> </w:t>
            </w:r>
          </w:p>
        </w:tc>
        <w:tc>
          <w:tcPr>
            <w:tcW w:w="6689" w:type="dxa"/>
            <w:gridSpan w:val="4"/>
            <w:tcBorders>
              <w:top w:val="single" w:sz="8" w:space="0" w:color="000000"/>
              <w:bottom w:val="single" w:sz="8" w:space="0" w:color="000000"/>
              <w:right w:val="single" w:sz="8" w:space="0" w:color="000000"/>
            </w:tcBorders>
            <w:shd w:color="auto" w:fill="F2F2F2" w:val="clear"/>
            <w:vAlign w:val="center"/>
          </w:tcPr>
          <w:p>
            <w:pPr>
              <w:pStyle w:val="Normal"/>
              <w:widowControl w:val="false"/>
              <w:jc w:val="center"/>
              <w:rPr>
                <w:rFonts w:ascii="Calibri" w:hAnsi="Calibri" w:cs="Calibri"/>
                <w:b/>
                <w:b/>
                <w:bCs/>
                <w:i/>
                <w:i/>
                <w:iCs/>
                <w:sz w:val="18"/>
                <w:szCs w:val="18"/>
                <w:lang w:val="es-ES" w:eastAsia="ca-ES"/>
              </w:rPr>
            </w:pPr>
            <w:r>
              <w:rPr>
                <w:rFonts w:cs="Calibri" w:ascii="Calibri" w:hAnsi="Calibri"/>
                <w:b/>
                <w:bCs/>
                <w:i/>
                <w:iCs/>
                <w:sz w:val="18"/>
                <w:szCs w:val="18"/>
                <w:lang w:val="es-ES" w:eastAsia="ca-ES"/>
              </w:rPr>
              <w:t>TOTAL DESVIACIONS NEGATIVES</w:t>
            </w:r>
          </w:p>
        </w:tc>
        <w:tc>
          <w:tcPr>
            <w:tcW w:w="1058" w:type="dxa"/>
            <w:tcBorders>
              <w:bottom w:val="single" w:sz="8" w:space="0" w:color="000000"/>
              <w:right w:val="single" w:sz="8" w:space="0" w:color="000000"/>
            </w:tcBorders>
            <w:shd w:color="auto" w:fill="F2F2F2" w:val="clear"/>
            <w:vAlign w:val="center"/>
          </w:tcPr>
          <w:p>
            <w:pPr>
              <w:pStyle w:val="Normal"/>
              <w:widowControl w:val="false"/>
              <w:jc w:val="right"/>
              <w:rPr>
                <w:rFonts w:ascii="Calibri" w:hAnsi="Calibri" w:cs="Calibri"/>
                <w:b/>
                <w:b/>
                <w:bCs/>
                <w:i/>
                <w:i/>
                <w:iCs/>
                <w:sz w:val="18"/>
                <w:szCs w:val="18"/>
                <w:lang w:val="es-ES" w:eastAsia="ca-ES"/>
              </w:rPr>
            </w:pPr>
            <w:r>
              <w:rPr>
                <w:rFonts w:cs="Calibri" w:ascii="Calibri" w:hAnsi="Calibri"/>
                <w:b/>
                <w:bCs/>
                <w:i/>
                <w:iCs/>
                <w:sz w:val="18"/>
                <w:szCs w:val="18"/>
                <w:lang w:val="es-ES" w:eastAsia="ca-ES"/>
              </w:rPr>
              <w:t xml:space="preserve"> </w:t>
            </w:r>
          </w:p>
        </w:tc>
      </w:tr>
    </w:tbl>
    <w:p>
      <w:pPr>
        <w:pStyle w:val="PlainText"/>
        <w:jc w:val="both"/>
        <w:rPr>
          <w:rFonts w:ascii="Arial" w:hAnsi="Arial" w:cs="Arial"/>
          <w:b/>
          <w:b/>
          <w:sz w:val="24"/>
          <w:szCs w:val="24"/>
        </w:rPr>
      </w:pPr>
      <w:r>
        <w:rPr>
          <w:rFonts w:cs="Arial" w:ascii="Arial" w:hAnsi="Arial"/>
          <w:b/>
          <w:sz w:val="24"/>
          <w:szCs w:val="24"/>
        </w:rPr>
      </w:r>
    </w:p>
    <w:p>
      <w:pPr>
        <w:pStyle w:val="PlainText"/>
        <w:jc w:val="both"/>
        <w:rPr>
          <w:rFonts w:ascii="Arial" w:hAnsi="Arial" w:cs="Arial"/>
          <w:b/>
          <w:b/>
          <w:sz w:val="24"/>
          <w:szCs w:val="24"/>
        </w:rPr>
      </w:pPr>
      <w:r>
        <w:rPr>
          <w:rFonts w:cs="Arial" w:ascii="Arial" w:hAnsi="Arial"/>
          <w:b/>
          <w:sz w:val="24"/>
          <w:szCs w:val="24"/>
        </w:rPr>
      </w:r>
    </w:p>
    <w:p>
      <w:pPr>
        <w:pStyle w:val="PlainText"/>
        <w:jc w:val="both"/>
        <w:rPr>
          <w:rFonts w:ascii="Arial" w:hAnsi="Arial" w:cs="Arial"/>
          <w:b/>
          <w:b/>
          <w:sz w:val="24"/>
          <w:szCs w:val="24"/>
        </w:rPr>
      </w:pPr>
      <w:r>
        <w:rPr>
          <w:rFonts w:cs="Arial" w:ascii="Arial" w:hAnsi="Arial"/>
          <w:b/>
          <w:sz w:val="24"/>
          <w:szCs w:val="24"/>
        </w:rPr>
      </w:r>
    </w:p>
    <w:p>
      <w:pPr>
        <w:pStyle w:val="Normal"/>
        <w:jc w:val="both"/>
        <w:rPr>
          <w:rFonts w:ascii="Calibri" w:hAnsi="Calibri" w:eastAsia="Batang" w:cs="Calibri" w:asciiTheme="minorHAnsi" w:cstheme="minorHAnsi" w:hAnsiTheme="minorHAnsi"/>
          <w:sz w:val="22"/>
          <w:szCs w:val="22"/>
          <w:lang w:eastAsia="ko-KR"/>
        </w:rPr>
      </w:pPr>
      <w:r>
        <w:rPr>
          <w:rFonts w:eastAsia="Batang" w:cs="Calibri" w:ascii="Calibri" w:hAnsi="Calibri" w:asciiTheme="minorHAnsi" w:cstheme="minorHAnsi" w:hAnsiTheme="minorHAnsi"/>
          <w:sz w:val="22"/>
          <w:szCs w:val="22"/>
          <w:lang w:eastAsia="ko-KR"/>
        </w:rPr>
        <w:t xml:space="preserve">       </w:t>
      </w:r>
      <w:r>
        <w:rPr>
          <w:rFonts w:eastAsia="Batang" w:cs="Calibri" w:ascii="Calibri" w:hAnsi="Calibri" w:asciiTheme="minorHAnsi" w:cstheme="minorHAnsi" w:hAnsiTheme="minorHAnsi"/>
          <w:sz w:val="22"/>
          <w:szCs w:val="22"/>
          <w:lang w:eastAsia="ko-KR"/>
        </w:rPr>
        <w:t>En relació als pagaments per transferències d’import de 77.000,00 euros, correspon a la suma de 23.500,00 euros , de la transferència efectuada de l’Ajuntament a l’Organisme autònom “ Escola Mpal. de Música de Petra” i de 53.500,00 € de la transferència efectuada a l’Organisme autònom “Fundació Teatre i Acció Sociocultural de Petra”</w:t>
      </w:r>
    </w:p>
    <w:p>
      <w:pPr>
        <w:pStyle w:val="Normal"/>
        <w:jc w:val="both"/>
        <w:rPr>
          <w:rFonts w:ascii="Calibri" w:hAnsi="Calibri" w:eastAsia="Batang" w:cs="Calibri" w:asciiTheme="minorHAnsi" w:cstheme="minorHAnsi" w:hAnsiTheme="minorHAnsi"/>
          <w:sz w:val="22"/>
          <w:szCs w:val="22"/>
          <w:lang w:eastAsia="ko-KR"/>
        </w:rPr>
      </w:pPr>
      <w:r>
        <w:rPr>
          <w:rFonts w:eastAsia="Batang" w:cs="Calibri" w:cstheme="minorHAnsi" w:ascii="Calibri" w:hAnsi="Calibri"/>
          <w:sz w:val="22"/>
          <w:szCs w:val="22"/>
          <w:lang w:eastAsia="ko-KR"/>
        </w:rPr>
      </w:r>
    </w:p>
    <w:p>
      <w:pPr>
        <w:pStyle w:val="Normal"/>
        <w:jc w:val="both"/>
        <w:rPr>
          <w:rFonts w:ascii="Calibri" w:hAnsi="Calibri" w:eastAsia="Batang" w:cs="Calibri" w:asciiTheme="minorHAnsi" w:cstheme="minorHAnsi" w:hAnsiTheme="minorHAnsi"/>
          <w:sz w:val="22"/>
          <w:szCs w:val="22"/>
          <w:lang w:eastAsia="ko-KR"/>
        </w:rPr>
      </w:pPr>
      <w:r>
        <w:rPr>
          <w:rFonts w:eastAsia="Batang" w:cs="Calibri" w:cstheme="minorHAnsi" w:ascii="Calibri" w:hAnsi="Calibri"/>
          <w:sz w:val="22"/>
          <w:szCs w:val="22"/>
          <w:lang w:eastAsia="ko-KR"/>
        </w:rPr>
      </w:r>
    </w:p>
    <w:p>
      <w:pPr>
        <w:pStyle w:val="Normal"/>
        <w:jc w:val="both"/>
        <w:rPr>
          <w:rFonts w:ascii="Calibri" w:hAnsi="Calibri" w:eastAsia="Batang" w:cs="Calibri" w:asciiTheme="minorHAnsi" w:cstheme="minorHAnsi" w:hAnsiTheme="minorHAnsi"/>
          <w:sz w:val="22"/>
          <w:szCs w:val="22"/>
          <w:lang w:eastAsia="ko-KR"/>
        </w:rPr>
      </w:pPr>
      <w:r>
        <w:rPr>
          <w:rFonts w:eastAsia="Batang" w:cs="Calibri" w:cstheme="minorHAnsi" w:ascii="Calibri" w:hAnsi="Calibri"/>
          <w:sz w:val="22"/>
          <w:szCs w:val="22"/>
          <w:lang w:eastAsia="ko-KR"/>
        </w:rPr>
      </w:r>
    </w:p>
    <w:p>
      <w:pPr>
        <w:pStyle w:val="Normal"/>
        <w:jc w:val="both"/>
        <w:rPr>
          <w:rFonts w:ascii="Calibri" w:hAnsi="Calibri" w:eastAsia="Batang" w:cs="Calibri" w:asciiTheme="minorHAnsi" w:cstheme="minorHAnsi" w:hAnsiTheme="minorHAnsi"/>
          <w:sz w:val="22"/>
          <w:szCs w:val="22"/>
          <w:lang w:eastAsia="ko-KR"/>
        </w:rPr>
      </w:pPr>
      <w:r>
        <w:rPr>
          <w:rFonts w:eastAsia="Batang" w:cs="Calibri" w:cstheme="minorHAnsi" w:ascii="Calibri" w:hAnsi="Calibri"/>
          <w:sz w:val="22"/>
          <w:szCs w:val="22"/>
          <w:lang w:eastAsia="ko-KR"/>
        </w:rPr>
      </w:r>
    </w:p>
    <w:p>
      <w:pPr>
        <w:pStyle w:val="Normal"/>
        <w:ind w:firstLine="360"/>
        <w:jc w:val="both"/>
        <w:rPr>
          <w:rFonts w:ascii="Calibri" w:hAnsi="Calibri" w:eastAsia="Batang" w:cs="Calibri" w:asciiTheme="minorHAnsi" w:cstheme="minorHAnsi" w:hAnsiTheme="minorHAnsi"/>
          <w:sz w:val="22"/>
          <w:szCs w:val="22"/>
          <w:lang w:eastAsia="ko-KR"/>
        </w:rPr>
      </w:pPr>
      <w:r>
        <w:rPr>
          <w:rFonts w:eastAsia="Batang" w:cs="Calibri" w:ascii="Calibri" w:hAnsi="Calibri" w:asciiTheme="minorHAnsi" w:cstheme="minorHAnsi" w:hAnsiTheme="minorHAnsi"/>
          <w:sz w:val="22"/>
          <w:szCs w:val="22"/>
          <w:lang w:eastAsia="ko-KR"/>
        </w:rPr>
        <w:t xml:space="preserve">Referent a les subvencions finalistes procedents d’altres Administracions Publiques que han finançat part de la despesa de l’exercici 2022 són les següents: </w:t>
      </w:r>
    </w:p>
    <w:p>
      <w:pPr>
        <w:pStyle w:val="Normal"/>
        <w:rPr>
          <w:rFonts w:eastAsia="Batang"/>
          <w:highlight w:val="yellow"/>
          <w:lang w:eastAsia="ko-KR"/>
        </w:rPr>
      </w:pPr>
      <w:r>
        <w:rPr>
          <w:rFonts w:eastAsia="Batang"/>
          <w:highlight w:val="yellow"/>
          <w:lang w:eastAsia="ko-KR"/>
        </w:rPr>
      </w:r>
    </w:p>
    <w:tbl>
      <w:tblPr>
        <w:tblW w:w="864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328"/>
        <w:gridCol w:w="5075"/>
        <w:gridCol w:w="2239"/>
      </w:tblGrid>
      <w:tr>
        <w:trPr/>
        <w:tc>
          <w:tcPr>
            <w:tcW w:w="1328"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rFonts w:ascii="Calibri" w:hAnsi="Calibri" w:eastAsia="Batang" w:cs="Calibri" w:asciiTheme="minorHAnsi" w:cstheme="minorHAnsi" w:hAnsiTheme="minorHAnsi"/>
                <w:b/>
                <w:b/>
                <w:sz w:val="20"/>
                <w:szCs w:val="20"/>
                <w:lang w:eastAsia="ko-KR"/>
              </w:rPr>
            </w:pPr>
            <w:r>
              <w:rPr>
                <w:rFonts w:eastAsia="Batang" w:cs="Calibri" w:ascii="Calibri" w:hAnsi="Calibri" w:asciiTheme="minorHAnsi" w:cstheme="minorHAnsi" w:hAnsiTheme="minorHAnsi"/>
                <w:b/>
                <w:sz w:val="20"/>
                <w:szCs w:val="20"/>
                <w:lang w:eastAsia="ko-KR"/>
              </w:rPr>
              <w:t>CONCEPTE</w:t>
            </w:r>
          </w:p>
        </w:tc>
        <w:tc>
          <w:tcPr>
            <w:tcW w:w="507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rPr>
                <w:rFonts w:ascii="Calibri" w:hAnsi="Calibri" w:eastAsia="Batang" w:cs="Calibri" w:asciiTheme="minorHAnsi" w:cstheme="minorHAnsi" w:hAnsiTheme="minorHAnsi"/>
                <w:b/>
                <w:b/>
                <w:sz w:val="20"/>
                <w:szCs w:val="20"/>
                <w:lang w:eastAsia="ko-KR"/>
              </w:rPr>
            </w:pPr>
            <w:r>
              <w:rPr>
                <w:rFonts w:eastAsia="Batang" w:cs="Calibri" w:ascii="Calibri" w:hAnsi="Calibri" w:asciiTheme="minorHAnsi" w:cstheme="minorHAnsi" w:hAnsiTheme="minorHAnsi"/>
                <w:b/>
                <w:sz w:val="20"/>
                <w:szCs w:val="20"/>
                <w:lang w:eastAsia="ko-KR"/>
              </w:rPr>
              <w:t>DESCRIPCIÓ</w:t>
            </w:r>
          </w:p>
        </w:tc>
        <w:tc>
          <w:tcPr>
            <w:tcW w:w="2239"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jc w:val="center"/>
              <w:rPr>
                <w:rFonts w:ascii="Calibri" w:hAnsi="Calibri" w:eastAsia="Batang" w:cs="Calibri" w:asciiTheme="minorHAnsi" w:cstheme="minorHAnsi" w:hAnsiTheme="minorHAnsi"/>
                <w:b/>
                <w:b/>
                <w:sz w:val="20"/>
                <w:szCs w:val="20"/>
                <w:lang w:eastAsia="ko-KR"/>
              </w:rPr>
            </w:pPr>
            <w:r>
              <w:rPr>
                <w:rFonts w:eastAsia="Batang" w:cs="Calibri" w:ascii="Calibri" w:hAnsi="Calibri" w:asciiTheme="minorHAnsi" w:cstheme="minorHAnsi" w:hAnsiTheme="minorHAnsi"/>
                <w:b/>
                <w:sz w:val="20"/>
                <w:szCs w:val="20"/>
                <w:lang w:eastAsia="ko-KR"/>
              </w:rPr>
              <w:t>IMPORT</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cstheme="minorHAnsi" w:ascii="Calibri" w:hAnsi="Calibri"/>
                <w:sz w:val="20"/>
                <w:szCs w:val="20"/>
                <w:lang w:eastAsia="ko-KR"/>
              </w:rPr>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cstheme="minorHAnsi" w:ascii="Calibri" w:hAnsi="Calibri"/>
                <w:sz w:val="20"/>
                <w:szCs w:val="20"/>
                <w:lang w:eastAsia="ko-KR"/>
              </w:rPr>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cstheme="minorHAnsi" w:ascii="Calibri" w:hAnsi="Calibri"/>
                <w:sz w:val="20"/>
                <w:szCs w:val="20"/>
                <w:lang w:eastAsia="ko-KR"/>
              </w:rPr>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42002</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JUTJAT DE PAU</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1.607,00</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42003</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PACTE VIOLÈNCIA DE GÈNERE</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2.725,00</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42090</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CENS ELECTORAL</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50,11</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45030</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AJUT ESCOLA 0-3 ANYS</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83.250,00</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45052</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SOIB JOVES QUALIFICATS 2022</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2.364,00</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45081</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CÀRRECS ELECTES</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42.800,20</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45082</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FONS SEGURETAT PÚBLICA</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8.030,90</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45084</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FONS SEGURETAT PÚBLICA</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25.507,89</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75003</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ADQUISICIÓ TERRENYS</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28.351,76</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46101</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CACIM 2022/2023</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6.875,00</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46102</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CACIM 2021/2022</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9.400,00</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46104</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EQUIPAMENT ARXIUS</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1.714,12</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46105</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EQUIPAMENT TEATRE</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2.596,85</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46106</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EQUIPAMENT BIBLIOTECA</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3.061,90</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46108</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JOVENTUT</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6.500,00</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46109</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PAESC 2022-2023</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34.557,71</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46110</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EDICIÓ LLIBRE</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1.780,00</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46111</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DIGITALITZACIÓ ARXIU</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4.800,00</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46112</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MOSTRA D’ART</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41.211,65</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76102</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POS 2022 – 2023 ADQUISICIÓ TERRENYS</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122.796,47</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76102</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POS 2022 – 2023  REHABILITACIÓ ESTACIÓ</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39.647,86</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76103</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MILLORA XARXA CLAVEGUERAM I AIGUA</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28.351,76</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76104</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MILLORA NA CAPITANA</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108.319,60</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46200</w:t>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COL·LABORACIO POLICIA LOCAL</w:t>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ascii="Calibri" w:hAnsi="Calibri" w:asciiTheme="minorHAnsi" w:cstheme="minorHAnsi" w:hAnsiTheme="minorHAnsi"/>
                <w:sz w:val="20"/>
                <w:szCs w:val="20"/>
                <w:lang w:eastAsia="ko-KR"/>
              </w:rPr>
              <w:t>16.552,05</w:t>
            </w:r>
          </w:p>
        </w:tc>
      </w:tr>
      <w:tr>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Calibri" w:hAnsi="Calibri" w:eastAsia="Batang" w:cs="Calibri" w:asciiTheme="minorHAnsi" w:cstheme="minorHAnsi" w:hAnsiTheme="minorHAnsi"/>
                <w:sz w:val="20"/>
                <w:szCs w:val="20"/>
                <w:lang w:eastAsia="ko-KR"/>
              </w:rPr>
            </w:pPr>
            <w:r>
              <w:rPr>
                <w:rFonts w:eastAsia="Batang" w:cs="Calibri" w:cstheme="minorHAnsi" w:ascii="Calibri" w:hAnsi="Calibri"/>
                <w:sz w:val="20"/>
                <w:szCs w:val="20"/>
                <w:lang w:eastAsia="ko-KR"/>
              </w:rPr>
            </w:r>
          </w:p>
        </w:tc>
        <w:tc>
          <w:tcPr>
            <w:tcW w:w="507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cstheme="minorHAnsi" w:ascii="Calibri" w:hAnsi="Calibri"/>
                <w:sz w:val="20"/>
                <w:szCs w:val="20"/>
                <w:lang w:eastAsia="ko-KR"/>
              </w:rPr>
            </w:r>
          </w:p>
        </w:tc>
        <w:tc>
          <w:tcPr>
            <w:tcW w:w="22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right"/>
              <w:rPr>
                <w:rFonts w:ascii="Calibri" w:hAnsi="Calibri" w:eastAsia="Batang" w:cs="Calibri" w:asciiTheme="minorHAnsi" w:cstheme="minorHAnsi" w:hAnsiTheme="minorHAnsi"/>
                <w:sz w:val="20"/>
                <w:szCs w:val="20"/>
                <w:lang w:eastAsia="ko-KR"/>
              </w:rPr>
            </w:pPr>
            <w:r>
              <w:rPr>
                <w:rFonts w:eastAsia="Batang" w:cs="Calibri" w:cstheme="minorHAnsi" w:ascii="Calibri" w:hAnsi="Calibri"/>
                <w:sz w:val="20"/>
                <w:szCs w:val="20"/>
                <w:lang w:eastAsia="ko-KR"/>
              </w:rPr>
            </w:r>
          </w:p>
        </w:tc>
      </w:tr>
      <w:tr>
        <w:trPr>
          <w:trHeight w:val="64" w:hRule="atLeast"/>
        </w:trPr>
        <w:tc>
          <w:tcPr>
            <w:tcW w:w="132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Calibri" w:hAnsi="Calibri" w:eastAsia="Batang" w:cs="Calibri" w:asciiTheme="minorHAnsi" w:cstheme="minorHAnsi" w:hAnsiTheme="minorHAnsi"/>
                <w:sz w:val="20"/>
                <w:szCs w:val="20"/>
                <w:lang w:eastAsia="ko-KR"/>
              </w:rPr>
            </w:pPr>
            <w:r>
              <w:rPr>
                <w:rFonts w:eastAsia="Batang" w:cs="Calibri" w:cstheme="minorHAnsi" w:ascii="Calibri" w:hAnsi="Calibri"/>
                <w:sz w:val="20"/>
                <w:szCs w:val="20"/>
                <w:lang w:eastAsia="ko-KR"/>
              </w:rPr>
            </w:r>
          </w:p>
        </w:tc>
        <w:tc>
          <w:tcPr>
            <w:tcW w:w="5075"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jc w:val="center"/>
              <w:rPr>
                <w:rFonts w:ascii="Calibri" w:hAnsi="Calibri" w:eastAsia="Batang" w:cs="Calibri" w:asciiTheme="minorHAnsi" w:cstheme="minorHAnsi" w:hAnsiTheme="minorHAnsi"/>
                <w:b/>
                <w:b/>
                <w:sz w:val="20"/>
                <w:szCs w:val="20"/>
                <w:lang w:eastAsia="ko-KR"/>
              </w:rPr>
            </w:pPr>
            <w:r>
              <w:rPr>
                <w:rFonts w:eastAsia="Batang" w:cs="Calibri" w:ascii="Calibri" w:hAnsi="Calibri" w:asciiTheme="minorHAnsi" w:cstheme="minorHAnsi" w:hAnsiTheme="minorHAnsi"/>
                <w:b/>
                <w:sz w:val="20"/>
                <w:szCs w:val="20"/>
                <w:lang w:eastAsia="ko-KR"/>
              </w:rPr>
              <w:t>TOTAL</w:t>
            </w:r>
          </w:p>
        </w:tc>
        <w:tc>
          <w:tcPr>
            <w:tcW w:w="2239" w:type="dxa"/>
            <w:tcBorders>
              <w:top w:val="single" w:sz="4" w:space="0" w:color="000000"/>
              <w:left w:val="single" w:sz="4" w:space="0" w:color="000000"/>
              <w:bottom w:val="single" w:sz="4" w:space="0" w:color="000000"/>
              <w:right w:val="single" w:sz="4" w:space="0" w:color="000000"/>
            </w:tcBorders>
            <w:shd w:color="auto" w:fill="F2F2F2" w:val="clear"/>
          </w:tcPr>
          <w:p>
            <w:pPr>
              <w:pStyle w:val="Normal"/>
              <w:widowControl w:val="false"/>
              <w:jc w:val="right"/>
              <w:rPr>
                <w:rFonts w:ascii="Calibri" w:hAnsi="Calibri" w:eastAsia="Batang" w:cs="Calibri" w:asciiTheme="minorHAnsi" w:cstheme="minorHAnsi" w:hAnsiTheme="minorHAnsi"/>
                <w:b/>
                <w:b/>
                <w:sz w:val="20"/>
                <w:szCs w:val="20"/>
                <w:lang w:eastAsia="ko-KR"/>
              </w:rPr>
            </w:pPr>
            <w:r>
              <w:rPr>
                <w:rFonts w:eastAsia="Batang" w:cs="Calibri" w:ascii="Calibri" w:hAnsi="Calibri" w:asciiTheme="minorHAnsi" w:cstheme="minorHAnsi" w:hAnsiTheme="minorHAnsi"/>
                <w:b/>
                <w:sz w:val="20"/>
                <w:szCs w:val="20"/>
                <w:lang w:eastAsia="ko-KR"/>
              </w:rPr>
              <w:t xml:space="preserve"> </w:t>
            </w:r>
          </w:p>
        </w:tc>
      </w:tr>
    </w:tbl>
    <w:p>
      <w:pPr>
        <w:pStyle w:val="Subttol"/>
        <w:jc w:val="both"/>
        <w:rPr>
          <w:rFonts w:ascii="Arial" w:hAnsi="Arial" w:eastAsia="Batang" w:cs="Arial"/>
          <w:b/>
          <w:b/>
          <w:lang w:eastAsia="ko-KR"/>
        </w:rPr>
      </w:pPr>
      <w:r>
        <w:rPr>
          <w:rFonts w:eastAsia="Batang" w:cs="Arial" w:ascii="Arial" w:hAnsi="Arial"/>
          <w:b/>
          <w:lang w:eastAsia="ko-KR"/>
        </w:rPr>
      </w:r>
    </w:p>
    <w:p>
      <w:pPr>
        <w:pStyle w:val="Normal"/>
        <w:spacing w:lineRule="auto" w:line="360"/>
        <w:ind w:firstLine="708"/>
        <w:jc w:val="both"/>
        <w:rPr>
          <w:rFonts w:ascii="Calibri" w:hAnsi="Calibri" w:cs="Calibri"/>
          <w:sz w:val="22"/>
          <w:szCs w:val="22"/>
          <w:lang w:val="es-ES"/>
        </w:rPr>
      </w:pPr>
      <w:r>
        <w:rPr>
          <w:rFonts w:cs="Calibri" w:ascii="Calibri" w:hAnsi="Calibri"/>
          <w:sz w:val="22"/>
          <w:szCs w:val="22"/>
          <w:lang w:val="es-ES"/>
        </w:rPr>
      </w:r>
    </w:p>
    <w:p>
      <w:pPr>
        <w:pStyle w:val="Normal"/>
        <w:spacing w:lineRule="auto" w:line="360"/>
        <w:ind w:firstLine="708"/>
        <w:jc w:val="both"/>
        <w:rPr>
          <w:rFonts w:ascii="Calibri" w:hAnsi="Calibri" w:cs="Calibri"/>
          <w:sz w:val="22"/>
          <w:szCs w:val="22"/>
          <w:lang w:val="es-ES"/>
        </w:rPr>
      </w:pPr>
      <w:r>
        <w:rPr>
          <w:rFonts w:cs="Calibri" w:ascii="Calibri" w:hAnsi="Calibri"/>
          <w:sz w:val="22"/>
          <w:szCs w:val="22"/>
          <w:lang w:val="es-ES"/>
        </w:rPr>
      </w:r>
    </w:p>
    <w:p>
      <w:pPr>
        <w:pStyle w:val="Normal"/>
        <w:spacing w:lineRule="auto" w:line="360"/>
        <w:ind w:firstLine="708"/>
        <w:jc w:val="both"/>
        <w:rPr>
          <w:rFonts w:ascii="Calibri" w:hAnsi="Calibri" w:cs="Calibri"/>
          <w:sz w:val="22"/>
          <w:szCs w:val="22"/>
          <w:lang w:val="es-ES"/>
        </w:rPr>
      </w:pPr>
      <w:r>
        <w:rPr>
          <w:rFonts w:cs="Calibri" w:ascii="Calibri" w:hAnsi="Calibri"/>
          <w:sz w:val="22"/>
          <w:szCs w:val="22"/>
          <w:lang w:val="es-ES"/>
        </w:rPr>
      </w:r>
    </w:p>
    <w:p>
      <w:pPr>
        <w:pStyle w:val="Normal"/>
        <w:jc w:val="both"/>
        <w:rPr>
          <w:rFonts w:ascii="Calibri" w:hAnsi="Calibri" w:cs="Calibri"/>
          <w:sz w:val="22"/>
          <w:szCs w:val="22"/>
        </w:rPr>
      </w:pPr>
      <w:r>
        <w:rPr>
          <w:rFonts w:cs="Calibri" w:ascii="Calibri" w:hAnsi="Calibri"/>
          <w:sz w:val="22"/>
          <w:szCs w:val="22"/>
        </w:rPr>
        <w:t xml:space="preserve">b) L’article 15 de la Llei Orgànica 2/2012, especifica el següent: </w:t>
      </w:r>
    </w:p>
    <w:p>
      <w:pPr>
        <w:pStyle w:val="Pa11"/>
        <w:spacing w:before="160" w:after="160"/>
        <w:ind w:left="900" w:hanging="340"/>
        <w:jc w:val="both"/>
        <w:rPr>
          <w:color w:val="000000"/>
          <w:sz w:val="20"/>
          <w:szCs w:val="20"/>
        </w:rPr>
      </w:pPr>
      <w:r>
        <w:rPr>
          <w:color w:val="000000"/>
          <w:sz w:val="20"/>
          <w:szCs w:val="20"/>
        </w:rPr>
        <w:t xml:space="preserve">«Artículo 15. </w:t>
      </w:r>
      <w:r>
        <w:rPr>
          <w:i/>
          <w:iCs/>
          <w:color w:val="000000"/>
          <w:sz w:val="20"/>
          <w:szCs w:val="20"/>
        </w:rPr>
        <w:t>Establecimiento de los objetivos de estabilidad presupuestaria y de deuda pública para el conjunto de Administraciones Públicas.</w:t>
      </w:r>
    </w:p>
    <w:p>
      <w:pPr>
        <w:pStyle w:val="Pa12"/>
        <w:numPr>
          <w:ilvl w:val="0"/>
          <w:numId w:val="2"/>
        </w:numPr>
        <w:jc w:val="both"/>
        <w:rPr>
          <w:sz w:val="20"/>
          <w:szCs w:val="20"/>
          <w:lang w:val="es-ES_tradnl"/>
        </w:rPr>
      </w:pPr>
      <w:r>
        <w:rPr>
          <w:color w:val="000000"/>
          <w:sz w:val="20"/>
          <w:szCs w:val="20"/>
        </w:rPr>
        <w:t>En el primer semestre de cada año, el Gobierno, mediante acuerdo del Consejo de Ministros, a propuesta del Ministro de Hacienda y Administraciones Públicas y previo informe del Consejo de Política Fiscal y Financiera de las Comunidades Autónomas y de la Comisión Nacional de Administración Local en cuanto al ámbito de las mismas, fijará los objetivos de estabilidad presupuestaria, en término de capacidad o necesidad de financiación …</w:t>
      </w:r>
      <w:r>
        <w:rPr>
          <w:sz w:val="20"/>
          <w:szCs w:val="20"/>
          <w:lang w:val="es-ES_tradnl"/>
        </w:rPr>
        <w:t>»</w:t>
      </w:r>
    </w:p>
    <w:p>
      <w:pPr>
        <w:pStyle w:val="Default"/>
        <w:ind w:left="1260" w:hanging="0"/>
        <w:rPr>
          <w:rFonts w:eastAsia="Batang"/>
          <w:lang w:val="es-ES_tradnl"/>
        </w:rPr>
      </w:pPr>
      <w:r>
        <w:rPr>
          <w:rFonts w:eastAsia="Batang"/>
          <w:lang w:val="es-ES_tradnl"/>
        </w:rPr>
      </w:r>
    </w:p>
    <w:p>
      <w:pPr>
        <w:pStyle w:val="Default"/>
        <w:ind w:left="1260" w:hanging="0"/>
        <w:rPr>
          <w:rFonts w:eastAsia="Batang"/>
          <w:lang w:val="es-ES_tradnl"/>
        </w:rPr>
      </w:pPr>
      <w:r>
        <w:rPr>
          <w:rFonts w:eastAsia="Batang"/>
          <w:lang w:val="es-ES_tradnl"/>
        </w:rPr>
      </w:r>
    </w:p>
    <w:p>
      <w:pPr>
        <w:pStyle w:val="Normal"/>
        <w:spacing w:lineRule="auto" w:line="360"/>
        <w:ind w:firstLine="708"/>
        <w:jc w:val="both"/>
        <w:rPr>
          <w:rFonts w:ascii="Calibri" w:hAnsi="Calibri" w:cs="Calibri"/>
          <w:sz w:val="22"/>
          <w:szCs w:val="22"/>
        </w:rPr>
      </w:pPr>
      <w:r>
        <w:rPr>
          <w:rFonts w:cs="Calibri" w:ascii="Calibri" w:hAnsi="Calibri"/>
          <w:sz w:val="22"/>
          <w:szCs w:val="22"/>
        </w:rPr>
        <w:t>L’Acord de Govern pel que es fixen els objectius d’estabilitat pressupostària i de Deute Públic per al conjunt d’Administracions Públiques i de cadascun dels seus subsectors per al període 2020-2023, fixa un objectiu d’estabilitat pressupostària per a les Entitats Locals per aquest període de zero.</w:t>
      </w:r>
    </w:p>
    <w:p>
      <w:pPr>
        <w:pStyle w:val="Normal"/>
        <w:jc w:val="both"/>
        <w:rPr>
          <w:rFonts w:ascii="Calibri" w:hAnsi="Calibri" w:cs="Calibri"/>
          <w:sz w:val="22"/>
          <w:szCs w:val="22"/>
        </w:rPr>
      </w:pPr>
      <w:r>
        <w:rPr>
          <w:rFonts w:cs="Calibri" w:ascii="Calibri" w:hAnsi="Calibri"/>
          <w:sz w:val="22"/>
          <w:szCs w:val="22"/>
        </w:rPr>
      </w:r>
    </w:p>
    <w:p>
      <w:pPr>
        <w:pStyle w:val="Normal"/>
        <w:spacing w:lineRule="auto" w:line="360"/>
        <w:ind w:firstLine="708"/>
        <w:jc w:val="both"/>
        <w:rPr>
          <w:rFonts w:ascii="Calibri" w:hAnsi="Calibri" w:cs="Calibri"/>
          <w:sz w:val="22"/>
          <w:szCs w:val="22"/>
        </w:rPr>
      </w:pPr>
      <w:r>
        <w:rPr>
          <w:rFonts w:cs="Calibri" w:ascii="Calibri" w:hAnsi="Calibri"/>
          <w:sz w:val="22"/>
          <w:szCs w:val="22"/>
        </w:rPr>
        <w:t xml:space="preserve">D’acord amb les xifres de la liquidació a aprovar i als càlculs realitzats per l’Ajuntament, la liquidació compleix el principi </w:t>
      </w:r>
      <w:r>
        <w:rPr>
          <w:rFonts w:cs="Calibri" w:ascii="Calibri" w:hAnsi="Calibri"/>
          <w:b/>
          <w:sz w:val="22"/>
          <w:szCs w:val="22"/>
        </w:rPr>
        <w:t>d’estabilitat pressupostària</w:t>
      </w:r>
      <w:r>
        <w:rPr>
          <w:rFonts w:cs="Calibri" w:ascii="Calibri" w:hAnsi="Calibri"/>
          <w:sz w:val="22"/>
          <w:szCs w:val="22"/>
        </w:rPr>
        <w:t>, quantificant-se un superàvit de finançament, una vegada aplicats els ajustaments que indica el SEC’2010, per import de</w:t>
      </w:r>
      <w:r>
        <w:rPr>
          <w:rFonts w:cs="Calibri" w:ascii="Calibri" w:hAnsi="Calibri"/>
          <w:b/>
          <w:sz w:val="22"/>
          <w:szCs w:val="22"/>
        </w:rPr>
        <w:t xml:space="preserve"> 320.972,35</w:t>
      </w:r>
      <w:r>
        <w:rPr>
          <w:rFonts w:cs="Calibri" w:ascii="Calibri" w:hAnsi="Calibri"/>
          <w:sz w:val="22"/>
          <w:szCs w:val="22"/>
        </w:rPr>
        <w:t xml:space="preserve"> €.</w:t>
      </w:r>
    </w:p>
    <w:p>
      <w:pPr>
        <w:pStyle w:val="Normal"/>
        <w:spacing w:lineRule="auto" w:line="360"/>
        <w:jc w:val="both"/>
        <w:rPr>
          <w:rFonts w:ascii="Calibri" w:hAnsi="Calibri" w:cs="Calibri"/>
          <w:sz w:val="22"/>
          <w:szCs w:val="22"/>
        </w:rPr>
      </w:pPr>
      <w:r>
        <w:rPr>
          <w:rFonts w:cs="Calibri" w:ascii="Calibri" w:hAnsi="Calibri"/>
          <w:sz w:val="22"/>
          <w:szCs w:val="22"/>
        </w:rPr>
        <w:tab/>
      </w:r>
    </w:p>
    <w:p>
      <w:pPr>
        <w:pStyle w:val="Normal"/>
        <w:spacing w:lineRule="auto" w:line="360"/>
        <w:ind w:firstLine="708"/>
        <w:jc w:val="both"/>
        <w:rPr>
          <w:rFonts w:ascii="Calibri" w:hAnsi="Calibri" w:cs="Calibri"/>
          <w:sz w:val="22"/>
          <w:szCs w:val="22"/>
        </w:rPr>
      </w:pPr>
      <w:r>
        <w:rPr>
          <w:rFonts w:cs="Calibri" w:ascii="Calibri" w:hAnsi="Calibri"/>
          <w:sz w:val="22"/>
          <w:szCs w:val="22"/>
        </w:rPr>
        <w:t>El detall de la capacitat o necessitat de finançament calculada amb els criteris SEC’2010, és el següent:</w:t>
      </w:r>
    </w:p>
    <w:p>
      <w:pPr>
        <w:pStyle w:val="Normal"/>
        <w:spacing w:lineRule="auto" w:line="360"/>
        <w:ind w:firstLine="708"/>
        <w:jc w:val="both"/>
        <w:rPr>
          <w:rFonts w:ascii="Calibri" w:hAnsi="Calibri" w:cs="Calibri"/>
          <w:b/>
          <w:b/>
          <w:sz w:val="22"/>
          <w:szCs w:val="22"/>
        </w:rPr>
      </w:pPr>
      <w:r>
        <w:rPr>
          <w:rFonts w:cs="Calibri" w:ascii="Calibri" w:hAnsi="Calibri"/>
          <w:b/>
          <w:sz w:val="22"/>
          <w:szCs w:val="22"/>
        </w:rPr>
      </w:r>
    </w:p>
    <w:p>
      <w:pPr>
        <w:pStyle w:val="Normal"/>
        <w:ind w:left="-142" w:hanging="0"/>
        <w:jc w:val="center"/>
        <w:rPr>
          <w:lang w:val="es-ES"/>
        </w:rPr>
      </w:pPr>
      <w:r>
        <w:rPr/>
        <w:drawing>
          <wp:inline distT="0" distB="0" distL="0" distR="0">
            <wp:extent cx="5808980" cy="8011795"/>
            <wp:effectExtent l="0" t="0" r="0" b="0"/>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tretch>
                      <a:fillRect/>
                    </a:stretch>
                  </pic:blipFill>
                  <pic:spPr bwMode="auto">
                    <a:xfrm>
                      <a:off x="0" y="0"/>
                      <a:ext cx="5808980" cy="8011795"/>
                    </a:xfrm>
                    <a:prstGeom prst="rect">
                      <a:avLst/>
                    </a:prstGeom>
                  </pic:spPr>
                </pic:pic>
              </a:graphicData>
            </a:graphic>
          </wp:inline>
        </w:drawing>
      </w:r>
    </w:p>
    <w:p>
      <w:pPr>
        <w:pStyle w:val="Normal"/>
        <w:widowControl w:val="false"/>
        <w:spacing w:lineRule="auto" w:line="360"/>
        <w:ind w:firstLine="709"/>
        <w:jc w:val="both"/>
        <w:rPr>
          <w:rFonts w:ascii="Calibri" w:hAnsi="Calibri" w:cs="Calibri"/>
          <w:sz w:val="22"/>
          <w:szCs w:val="22"/>
        </w:rPr>
      </w:pPr>
      <w:r>
        <w:rPr>
          <w:rFonts w:cs="Calibri" w:ascii="Calibri" w:hAnsi="Calibri"/>
          <w:sz w:val="22"/>
          <w:szCs w:val="22"/>
        </w:rPr>
        <w:t>Com es desprèn del quadre anterior, les previsions d’ingressos no financers (capítols ú a set) són superiors a les despeses no financeres executades, en termes de comptabilitat nacional, generant un superàvit de finançament de 320.972,35 €.</w:t>
      </w:r>
    </w:p>
    <w:p>
      <w:pPr>
        <w:pStyle w:val="Normal"/>
        <w:widowControl w:val="false"/>
        <w:ind w:firstLine="709"/>
        <w:jc w:val="both"/>
        <w:rPr>
          <w:rFonts w:ascii="Calibri" w:hAnsi="Calibri" w:cs="Calibri"/>
          <w:lang w:eastAsia="en-US"/>
        </w:rPr>
      </w:pPr>
      <w:r>
        <w:rPr>
          <w:rFonts w:cs="Calibri" w:ascii="Calibri" w:hAnsi="Calibri"/>
          <w:lang w:eastAsia="en-US"/>
        </w:rPr>
      </w:r>
    </w:p>
    <w:p>
      <w:pPr>
        <w:pStyle w:val="Normal"/>
        <w:widowControl w:val="false"/>
        <w:ind w:firstLine="709"/>
        <w:jc w:val="both"/>
        <w:rPr>
          <w:rFonts w:ascii="Calibri" w:hAnsi="Calibri" w:cs="Calibri"/>
          <w:lang w:eastAsia="en-US"/>
        </w:rPr>
      </w:pPr>
      <w:r>
        <w:rPr>
          <w:rFonts w:cs="Calibri" w:ascii="Calibri" w:hAnsi="Calibri"/>
          <w:lang w:eastAsia="en-US"/>
        </w:rPr>
      </w:r>
    </w:p>
    <w:p>
      <w:pPr>
        <w:pStyle w:val="Normal"/>
        <w:widowControl w:val="false"/>
        <w:ind w:firstLine="709"/>
        <w:jc w:val="both"/>
        <w:rPr>
          <w:rFonts w:ascii="Calibri" w:hAnsi="Calibri" w:cs="Calibri"/>
          <w:sz w:val="22"/>
          <w:szCs w:val="22"/>
          <w:lang w:eastAsia="en-US"/>
        </w:rPr>
      </w:pPr>
      <w:r>
        <w:rPr>
          <w:rFonts w:cs="Calibri" w:ascii="Calibri" w:hAnsi="Calibri"/>
          <w:sz w:val="22"/>
          <w:szCs w:val="22"/>
          <w:lang w:eastAsia="en-US"/>
        </w:rPr>
        <w:t>El detall dels ajustament realitzats és el següent:</w:t>
      </w:r>
    </w:p>
    <w:p>
      <w:pPr>
        <w:pStyle w:val="Normal"/>
        <w:widowControl w:val="false"/>
        <w:ind w:firstLine="709"/>
        <w:jc w:val="both"/>
        <w:rPr>
          <w:rFonts w:ascii="Calibri" w:hAnsi="Calibri" w:cs="Calibri"/>
          <w:sz w:val="22"/>
          <w:szCs w:val="22"/>
          <w:lang w:eastAsia="en-US"/>
        </w:rPr>
      </w:pPr>
      <w:r>
        <w:rPr>
          <w:rFonts w:cs="Calibri" w:ascii="Calibri" w:hAnsi="Calibri"/>
          <w:sz w:val="22"/>
          <w:szCs w:val="22"/>
          <w:lang w:eastAsia="en-US"/>
        </w:rPr>
      </w:r>
    </w:p>
    <w:p>
      <w:pPr>
        <w:pStyle w:val="ListParagraph"/>
        <w:widowControl w:val="false"/>
        <w:numPr>
          <w:ilvl w:val="0"/>
          <w:numId w:val="5"/>
        </w:numPr>
        <w:jc w:val="both"/>
        <w:rPr>
          <w:rFonts w:ascii="Calibri" w:hAnsi="Calibri" w:cs="Calibri"/>
          <w:sz w:val="22"/>
          <w:szCs w:val="22"/>
          <w:lang w:eastAsia="en-US"/>
        </w:rPr>
      </w:pPr>
      <w:r>
        <w:rPr>
          <w:rFonts w:cs="Calibri" w:ascii="Calibri" w:hAnsi="Calibri"/>
          <w:sz w:val="22"/>
          <w:szCs w:val="22"/>
          <w:lang w:eastAsia="en-US"/>
        </w:rPr>
        <w:t>Enregistrament en comptabilitat nacional d'Impostos, cotitzacions socials, taxes i altres ingressos.</w:t>
      </w:r>
    </w:p>
    <w:p>
      <w:pPr>
        <w:pStyle w:val="ListParagraph"/>
        <w:widowControl w:val="false"/>
        <w:ind w:left="1069" w:hanging="0"/>
        <w:jc w:val="both"/>
        <w:rPr>
          <w:rFonts w:ascii="Calibri" w:hAnsi="Calibri" w:cs="Calibri"/>
          <w:sz w:val="22"/>
          <w:szCs w:val="22"/>
          <w:lang w:eastAsia="en-US"/>
        </w:rPr>
      </w:pPr>
      <w:r>
        <w:rPr>
          <w:rFonts w:cs="Calibri" w:ascii="Calibri" w:hAnsi="Calibri"/>
          <w:sz w:val="22"/>
          <w:szCs w:val="22"/>
          <w:lang w:eastAsia="en-US"/>
        </w:rPr>
      </w:r>
    </w:p>
    <w:p>
      <w:pPr>
        <w:pStyle w:val="Normal"/>
        <w:widowControl w:val="false"/>
        <w:ind w:firstLine="709"/>
        <w:jc w:val="center"/>
        <w:rPr>
          <w:rFonts w:ascii="Calibri" w:hAnsi="Calibri" w:cs="Calibri"/>
          <w:sz w:val="22"/>
          <w:szCs w:val="22"/>
          <w:lang w:eastAsia="en-US"/>
        </w:rPr>
      </w:pPr>
      <w:r>
        <w:rPr/>
        <w:drawing>
          <wp:inline distT="0" distB="0" distL="0" distR="0">
            <wp:extent cx="6097905" cy="1442720"/>
            <wp:effectExtent l="0" t="0" r="0" b="0"/>
            <wp:docPr id="3"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descr=""/>
                    <pic:cNvPicPr>
                      <a:picLocks noChangeAspect="1" noChangeArrowheads="1"/>
                    </pic:cNvPicPr>
                  </pic:nvPicPr>
                  <pic:blipFill>
                    <a:blip r:embed="rId4"/>
                    <a:stretch>
                      <a:fillRect/>
                    </a:stretch>
                  </pic:blipFill>
                  <pic:spPr bwMode="auto">
                    <a:xfrm>
                      <a:off x="0" y="0"/>
                      <a:ext cx="6097905" cy="1442720"/>
                    </a:xfrm>
                    <a:prstGeom prst="rect">
                      <a:avLst/>
                    </a:prstGeom>
                  </pic:spPr>
                </pic:pic>
              </a:graphicData>
            </a:graphic>
          </wp:inline>
        </w:drawing>
      </w:r>
    </w:p>
    <w:p>
      <w:pPr>
        <w:pStyle w:val="Normal"/>
        <w:widowControl w:val="false"/>
        <w:ind w:firstLine="709"/>
        <w:jc w:val="both"/>
        <w:rPr>
          <w:rFonts w:ascii="Calibri" w:hAnsi="Calibri" w:cs="Calibri"/>
          <w:lang w:eastAsia="en-US"/>
        </w:rPr>
      </w:pPr>
      <w:r>
        <w:rPr>
          <w:rFonts w:cs="Calibri" w:ascii="Calibri" w:hAnsi="Calibri"/>
          <w:lang w:eastAsia="en-US"/>
        </w:rPr>
      </w:r>
    </w:p>
    <w:p>
      <w:pPr>
        <w:pStyle w:val="Normal"/>
        <w:widowControl w:val="false"/>
        <w:ind w:firstLine="709"/>
        <w:jc w:val="both"/>
        <w:rPr>
          <w:rFonts w:ascii="Calibri" w:hAnsi="Calibri" w:cs="Calibri"/>
          <w:lang w:eastAsia="en-US"/>
        </w:rPr>
      </w:pPr>
      <w:r>
        <w:rPr>
          <w:rFonts w:cs="Calibri" w:ascii="Calibri" w:hAnsi="Calibri"/>
          <w:lang w:eastAsia="en-US"/>
        </w:rPr>
      </w:r>
    </w:p>
    <w:p>
      <w:pPr>
        <w:pStyle w:val="Normal"/>
        <w:widowControl w:val="false"/>
        <w:ind w:firstLine="709"/>
        <w:jc w:val="both"/>
        <w:rPr>
          <w:rFonts w:ascii="Calibri" w:hAnsi="Calibri" w:cs="Calibri"/>
          <w:lang w:eastAsia="en-US"/>
        </w:rPr>
      </w:pPr>
      <w:r>
        <w:rPr>
          <w:rFonts w:cs="Calibri" w:ascii="Calibri" w:hAnsi="Calibri"/>
          <w:lang w:eastAsia="en-US"/>
        </w:rPr>
      </w:r>
    </w:p>
    <w:p>
      <w:pPr>
        <w:pStyle w:val="ListParagraph"/>
        <w:widowControl w:val="false"/>
        <w:numPr>
          <w:ilvl w:val="0"/>
          <w:numId w:val="5"/>
        </w:numPr>
        <w:jc w:val="both"/>
        <w:rPr>
          <w:rFonts w:ascii="Calibri" w:hAnsi="Calibri" w:cs="Calibri"/>
          <w:sz w:val="22"/>
          <w:szCs w:val="22"/>
          <w:lang w:eastAsia="en-US"/>
        </w:rPr>
      </w:pPr>
      <w:r>
        <w:rPr>
          <w:rFonts w:cs="Calibri" w:ascii="Calibri" w:hAnsi="Calibri"/>
          <w:sz w:val="22"/>
          <w:szCs w:val="22"/>
          <w:lang w:eastAsia="en-US"/>
        </w:rPr>
        <w:t>Despeses realitzades en l’exercici i pendents d’aplicar al pressupost de despeses.</w:t>
      </w:r>
    </w:p>
    <w:p>
      <w:pPr>
        <w:pStyle w:val="ListParagraph"/>
        <w:widowControl w:val="false"/>
        <w:ind w:left="1069" w:hanging="0"/>
        <w:jc w:val="both"/>
        <w:rPr>
          <w:rFonts w:ascii="Calibri" w:hAnsi="Calibri" w:cs="Calibri"/>
          <w:sz w:val="22"/>
          <w:szCs w:val="22"/>
          <w:lang w:eastAsia="en-US"/>
        </w:rPr>
      </w:pPr>
      <w:r>
        <w:rPr>
          <w:rFonts w:cs="Calibri" w:ascii="Calibri" w:hAnsi="Calibri"/>
          <w:sz w:val="22"/>
          <w:szCs w:val="22"/>
          <w:lang w:eastAsia="en-US"/>
        </w:rPr>
      </w:r>
    </w:p>
    <w:p>
      <w:pPr>
        <w:pStyle w:val="Normal"/>
        <w:widowControl w:val="false"/>
        <w:ind w:firstLine="709"/>
        <w:jc w:val="both"/>
        <w:rPr>
          <w:rFonts w:ascii="Calibri" w:hAnsi="Calibri" w:cs="Calibri"/>
          <w:sz w:val="22"/>
          <w:szCs w:val="22"/>
          <w:lang w:eastAsia="en-US"/>
        </w:rPr>
      </w:pPr>
      <w:r>
        <w:rPr/>
        <w:drawing>
          <wp:inline distT="0" distB="0" distL="0" distR="0">
            <wp:extent cx="6097905" cy="2995295"/>
            <wp:effectExtent l="0" t="0" r="0" b="0"/>
            <wp:docPr id="4"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
                    <pic:cNvPicPr>
                      <a:picLocks noChangeAspect="1" noChangeArrowheads="1"/>
                    </pic:cNvPicPr>
                  </pic:nvPicPr>
                  <pic:blipFill>
                    <a:blip r:embed="rId5"/>
                    <a:stretch>
                      <a:fillRect/>
                    </a:stretch>
                  </pic:blipFill>
                  <pic:spPr bwMode="auto">
                    <a:xfrm>
                      <a:off x="0" y="0"/>
                      <a:ext cx="6097905" cy="2995295"/>
                    </a:xfrm>
                    <a:prstGeom prst="rect">
                      <a:avLst/>
                    </a:prstGeom>
                  </pic:spPr>
                </pic:pic>
              </a:graphicData>
            </a:graphic>
          </wp:inline>
        </w:drawing>
      </w:r>
    </w:p>
    <w:p>
      <w:pPr>
        <w:pStyle w:val="Normal"/>
        <w:widowControl w:val="false"/>
        <w:ind w:firstLine="709"/>
        <w:jc w:val="both"/>
        <w:rPr>
          <w:rFonts w:ascii="Calibri" w:hAnsi="Calibri" w:cs="Calibri"/>
          <w:sz w:val="22"/>
          <w:szCs w:val="22"/>
          <w:lang w:eastAsia="en-US"/>
        </w:rPr>
      </w:pPr>
      <w:r>
        <w:rPr>
          <w:rFonts w:cs="Calibri" w:ascii="Calibri" w:hAnsi="Calibri"/>
          <w:sz w:val="22"/>
          <w:szCs w:val="22"/>
          <w:lang w:eastAsia="en-US"/>
        </w:rPr>
      </w:r>
    </w:p>
    <w:p>
      <w:pPr>
        <w:pStyle w:val="Normal"/>
        <w:widowControl w:val="false"/>
        <w:ind w:firstLine="709"/>
        <w:jc w:val="both"/>
        <w:rPr>
          <w:rFonts w:ascii="Calibri" w:hAnsi="Calibri" w:cs="Calibri"/>
          <w:sz w:val="22"/>
          <w:szCs w:val="22"/>
          <w:lang w:eastAsia="en-US"/>
        </w:rPr>
      </w:pPr>
      <w:r>
        <w:rPr>
          <w:rFonts w:cs="Calibri" w:ascii="Calibri" w:hAnsi="Calibri"/>
          <w:sz w:val="22"/>
          <w:szCs w:val="22"/>
          <w:lang w:eastAsia="en-US"/>
        </w:rPr>
        <w:t>Igual que en el càlcul de la regla de la despesa, l’import a ajustar correspon a 5.588.190,43 €. La  diferència de 391.233,28 € amb l’import de 5.979.423,71 € correspon a l’ajust del capítol IX que no es té con compte ja que tant en la regla de la despesa com en l’equilibri pressupostari la despesa computable compren els capítols I a VII.</w:t>
      </w:r>
    </w:p>
    <w:p>
      <w:pPr>
        <w:pStyle w:val="Normal"/>
        <w:widowControl w:val="false"/>
        <w:ind w:firstLine="709"/>
        <w:jc w:val="both"/>
        <w:rPr>
          <w:rFonts w:ascii="Calibri" w:hAnsi="Calibri" w:cs="Calibri"/>
          <w:sz w:val="22"/>
          <w:szCs w:val="22"/>
          <w:lang w:eastAsia="en-US"/>
        </w:rPr>
      </w:pPr>
      <w:r>
        <w:rPr>
          <w:rFonts w:cs="Calibri" w:ascii="Calibri" w:hAnsi="Calibri"/>
          <w:sz w:val="22"/>
          <w:szCs w:val="22"/>
          <w:lang w:eastAsia="en-US"/>
        </w:rPr>
      </w:r>
    </w:p>
    <w:p>
      <w:pPr>
        <w:pStyle w:val="ListParagraph"/>
        <w:widowControl w:val="false"/>
        <w:ind w:left="1069" w:hanging="0"/>
        <w:jc w:val="both"/>
        <w:rPr>
          <w:rFonts w:ascii="Calibri" w:hAnsi="Calibri" w:cs="Calibri"/>
          <w:sz w:val="22"/>
          <w:szCs w:val="22"/>
          <w:lang w:eastAsia="en-US"/>
        </w:rPr>
      </w:pPr>
      <w:r>
        <w:rPr>
          <w:rFonts w:cs="Calibri" w:ascii="Calibri" w:hAnsi="Calibri"/>
          <w:sz w:val="22"/>
          <w:szCs w:val="22"/>
          <w:lang w:eastAsia="en-US"/>
        </w:rPr>
      </w:r>
    </w:p>
    <w:p>
      <w:pPr>
        <w:pStyle w:val="ListParagraph"/>
        <w:widowControl w:val="false"/>
        <w:ind w:left="1069" w:hanging="0"/>
        <w:jc w:val="both"/>
        <w:rPr>
          <w:rFonts w:ascii="Calibri" w:hAnsi="Calibri" w:cs="Calibri"/>
          <w:sz w:val="22"/>
          <w:szCs w:val="22"/>
          <w:lang w:eastAsia="en-US"/>
        </w:rPr>
      </w:pPr>
      <w:r>
        <w:rPr>
          <w:rFonts w:cs="Calibri" w:ascii="Calibri" w:hAnsi="Calibri"/>
          <w:sz w:val="22"/>
          <w:szCs w:val="22"/>
          <w:lang w:eastAsia="en-US"/>
        </w:rPr>
      </w:r>
    </w:p>
    <w:p>
      <w:pPr>
        <w:pStyle w:val="ListParagraph"/>
        <w:widowControl w:val="false"/>
        <w:numPr>
          <w:ilvl w:val="0"/>
          <w:numId w:val="5"/>
        </w:numPr>
        <w:jc w:val="both"/>
        <w:rPr>
          <w:rFonts w:ascii="Calibri" w:hAnsi="Calibri" w:cs="Calibri"/>
          <w:sz w:val="22"/>
          <w:szCs w:val="22"/>
          <w:lang w:eastAsia="en-US"/>
        </w:rPr>
      </w:pPr>
      <w:r>
        <w:rPr>
          <w:rFonts w:cs="Calibri" w:ascii="Calibri" w:hAnsi="Calibri"/>
          <w:sz w:val="22"/>
          <w:szCs w:val="22"/>
          <w:lang w:eastAsia="en-US"/>
        </w:rPr>
        <w:t>Desviacions positives i negatives de finançament.</w:t>
      </w:r>
    </w:p>
    <w:p>
      <w:pPr>
        <w:pStyle w:val="Normal"/>
        <w:widowControl w:val="false"/>
        <w:jc w:val="both"/>
        <w:rPr>
          <w:rFonts w:ascii="Calibri" w:hAnsi="Calibri" w:cs="Calibri"/>
          <w:sz w:val="22"/>
          <w:szCs w:val="22"/>
          <w:lang w:eastAsia="en-US"/>
        </w:rPr>
      </w:pPr>
      <w:r>
        <w:rPr>
          <w:rFonts w:cs="Calibri" w:ascii="Calibri" w:hAnsi="Calibri"/>
          <w:sz w:val="22"/>
          <w:szCs w:val="22"/>
          <w:lang w:eastAsia="en-US"/>
        </w:rPr>
      </w:r>
    </w:p>
    <w:p>
      <w:pPr>
        <w:pStyle w:val="Normal"/>
        <w:widowControl w:val="false"/>
        <w:jc w:val="center"/>
        <w:rPr>
          <w:rFonts w:ascii="Calibri" w:hAnsi="Calibri" w:cs="Calibri"/>
          <w:sz w:val="22"/>
          <w:szCs w:val="22"/>
          <w:lang w:eastAsia="en-US"/>
        </w:rPr>
      </w:pPr>
      <w:r>
        <w:rPr/>
        <w:drawing>
          <wp:inline distT="0" distB="0" distL="0" distR="0">
            <wp:extent cx="5464175" cy="2435860"/>
            <wp:effectExtent l="0" t="0" r="0" b="0"/>
            <wp:docPr id="5"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6" descr=""/>
                    <pic:cNvPicPr>
                      <a:picLocks noChangeAspect="1" noChangeArrowheads="1"/>
                    </pic:cNvPicPr>
                  </pic:nvPicPr>
                  <pic:blipFill>
                    <a:blip r:embed="rId6"/>
                    <a:stretch>
                      <a:fillRect/>
                    </a:stretch>
                  </pic:blipFill>
                  <pic:spPr bwMode="auto">
                    <a:xfrm>
                      <a:off x="0" y="0"/>
                      <a:ext cx="5464175" cy="2435860"/>
                    </a:xfrm>
                    <a:prstGeom prst="rect">
                      <a:avLst/>
                    </a:prstGeom>
                  </pic:spPr>
                </pic:pic>
              </a:graphicData>
            </a:graphic>
          </wp:inline>
        </w:drawing>
      </w:r>
    </w:p>
    <w:p>
      <w:pPr>
        <w:pStyle w:val="Normal"/>
        <w:widowControl w:val="false"/>
        <w:jc w:val="both"/>
        <w:rPr>
          <w:rFonts w:ascii="Calibri" w:hAnsi="Calibri" w:cs="Calibri"/>
          <w:sz w:val="22"/>
          <w:szCs w:val="22"/>
          <w:lang w:eastAsia="en-US"/>
        </w:rPr>
      </w:pPr>
      <w:r>
        <w:rPr>
          <w:rFonts w:cs="Calibri" w:ascii="Calibri" w:hAnsi="Calibri"/>
          <w:sz w:val="22"/>
          <w:szCs w:val="22"/>
          <w:lang w:eastAsia="en-US"/>
        </w:rPr>
      </w:r>
    </w:p>
    <w:p>
      <w:pPr>
        <w:pStyle w:val="Normal"/>
        <w:spacing w:lineRule="auto" w:line="360"/>
        <w:ind w:firstLine="708"/>
        <w:jc w:val="both"/>
        <w:rPr>
          <w:rFonts w:ascii="Calibri" w:hAnsi="Calibri" w:cs="Calibri"/>
          <w:sz w:val="22"/>
          <w:szCs w:val="22"/>
        </w:rPr>
      </w:pPr>
      <w:r>
        <w:rPr>
          <w:rFonts w:cs="Calibri" w:ascii="Calibri" w:hAnsi="Calibri"/>
          <w:sz w:val="22"/>
          <w:szCs w:val="22"/>
        </w:rPr>
      </w:r>
    </w:p>
    <w:p>
      <w:pPr>
        <w:pStyle w:val="ListParagraph"/>
        <w:numPr>
          <w:ilvl w:val="0"/>
          <w:numId w:val="5"/>
        </w:numPr>
        <w:spacing w:lineRule="auto" w:line="360"/>
        <w:jc w:val="both"/>
        <w:rPr>
          <w:rFonts w:ascii="Calibri" w:hAnsi="Calibri" w:cs="Calibri"/>
          <w:sz w:val="22"/>
          <w:szCs w:val="22"/>
        </w:rPr>
      </w:pPr>
      <w:r>
        <w:rPr>
          <w:rFonts w:cs="Calibri" w:ascii="Calibri" w:hAnsi="Calibri"/>
          <w:sz w:val="22"/>
          <w:szCs w:val="22"/>
        </w:rPr>
        <w:t>Devolucions d’ingrés.</w:t>
      </w:r>
    </w:p>
    <w:p>
      <w:pPr>
        <w:pStyle w:val="Normal"/>
        <w:spacing w:lineRule="auto" w:line="360"/>
        <w:jc w:val="center"/>
        <w:rPr>
          <w:rFonts w:ascii="Calibri" w:hAnsi="Calibri" w:cs="Calibri"/>
          <w:sz w:val="22"/>
          <w:szCs w:val="22"/>
        </w:rPr>
      </w:pPr>
      <w:r>
        <w:rPr/>
        <w:drawing>
          <wp:inline distT="0" distB="0" distL="0" distR="0">
            <wp:extent cx="5501005" cy="2176780"/>
            <wp:effectExtent l="0" t="0" r="0" b="0"/>
            <wp:docPr id="6"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2" descr=""/>
                    <pic:cNvPicPr>
                      <a:picLocks noChangeAspect="1" noChangeArrowheads="1"/>
                    </pic:cNvPicPr>
                  </pic:nvPicPr>
                  <pic:blipFill>
                    <a:blip r:embed="rId7"/>
                    <a:stretch>
                      <a:fillRect/>
                    </a:stretch>
                  </pic:blipFill>
                  <pic:spPr bwMode="auto">
                    <a:xfrm>
                      <a:off x="0" y="0"/>
                      <a:ext cx="5501005" cy="2176780"/>
                    </a:xfrm>
                    <a:prstGeom prst="rect">
                      <a:avLst/>
                    </a:prstGeom>
                  </pic:spPr>
                </pic:pic>
              </a:graphicData>
            </a:graphic>
          </wp:inline>
        </w:drawing>
      </w:r>
    </w:p>
    <w:p>
      <w:pPr>
        <w:pStyle w:val="Normal"/>
        <w:spacing w:lineRule="auto" w:line="360"/>
        <w:ind w:firstLine="708"/>
        <w:jc w:val="both"/>
        <w:rPr>
          <w:rFonts w:ascii="Calibri" w:hAnsi="Calibri" w:cs="Calibri"/>
          <w:sz w:val="22"/>
          <w:szCs w:val="22"/>
        </w:rPr>
      </w:pPr>
      <w:r>
        <w:rPr>
          <w:rFonts w:cs="Calibri" w:ascii="Calibri" w:hAnsi="Calibri"/>
          <w:sz w:val="22"/>
          <w:szCs w:val="22"/>
        </w:rPr>
      </w:r>
    </w:p>
    <w:p>
      <w:pPr>
        <w:pStyle w:val="Normal"/>
        <w:spacing w:lineRule="auto" w:line="360"/>
        <w:ind w:firstLine="708"/>
        <w:jc w:val="both"/>
        <w:rPr>
          <w:rFonts w:ascii="Calibri" w:hAnsi="Calibri" w:cs="Calibri"/>
          <w:sz w:val="22"/>
          <w:szCs w:val="22"/>
        </w:rPr>
      </w:pPr>
      <w:r>
        <w:rPr>
          <w:rFonts w:cs="Calibri" w:ascii="Calibri" w:hAnsi="Calibri"/>
          <w:sz w:val="22"/>
          <w:szCs w:val="22"/>
        </w:rPr>
        <w:t xml:space="preserve">c) Respecte a </w:t>
      </w:r>
      <w:r>
        <w:rPr>
          <w:rFonts w:cs="Calibri" w:ascii="Calibri" w:hAnsi="Calibri"/>
          <w:b/>
          <w:sz w:val="22"/>
          <w:szCs w:val="22"/>
        </w:rPr>
        <w:t>la sostenibilitat financera</w:t>
      </w:r>
      <w:r>
        <w:rPr>
          <w:rFonts w:cs="Calibri" w:ascii="Calibri" w:hAnsi="Calibri"/>
          <w:sz w:val="22"/>
          <w:szCs w:val="22"/>
        </w:rPr>
        <w:t xml:space="preserve"> en la liquidació de l’exercici 2022, l’objectiu de deute públic i el límit d’endeutament aplicable es recull en el Text Refós de la Llei Reguladora de les Hisendes Local, aprovat per el Real Decret Legislatiu 2/2004, de 5 de març i en la Llei 17/12, de 27 de desembre del Pressupost General de l’Estat per l’exercici 2013, en les disposicions addicionals 73 i final 31.  </w:t>
      </w:r>
    </w:p>
    <w:p>
      <w:pPr>
        <w:pStyle w:val="Normal"/>
        <w:spacing w:lineRule="auto" w:line="360"/>
        <w:ind w:firstLine="708"/>
        <w:jc w:val="both"/>
        <w:rPr>
          <w:rFonts w:ascii="Calibri" w:hAnsi="Calibri" w:cs="Calibri"/>
          <w:sz w:val="22"/>
          <w:szCs w:val="22"/>
        </w:rPr>
      </w:pPr>
      <w:r>
        <w:rPr>
          <w:rFonts w:cs="Calibri" w:ascii="Calibri" w:hAnsi="Calibri"/>
          <w:sz w:val="22"/>
          <w:szCs w:val="22"/>
        </w:rPr>
      </w:r>
    </w:p>
    <w:p>
      <w:pPr>
        <w:pStyle w:val="Normal"/>
        <w:spacing w:lineRule="auto" w:line="360"/>
        <w:ind w:firstLine="708"/>
        <w:jc w:val="both"/>
        <w:rPr>
          <w:rFonts w:ascii="Calibri" w:hAnsi="Calibri" w:cs="Calibri"/>
          <w:sz w:val="22"/>
          <w:szCs w:val="22"/>
        </w:rPr>
      </w:pPr>
      <w:r>
        <w:rPr>
          <w:rFonts w:cs="Calibri" w:ascii="Calibri" w:hAnsi="Calibri"/>
          <w:sz w:val="22"/>
          <w:szCs w:val="22"/>
        </w:rPr>
      </w:r>
    </w:p>
    <w:p>
      <w:pPr>
        <w:pStyle w:val="Normal"/>
        <w:spacing w:lineRule="auto" w:line="360"/>
        <w:jc w:val="both"/>
        <w:rPr>
          <w:rFonts w:ascii="Calibri" w:hAnsi="Calibri" w:cs="Calibri"/>
          <w:sz w:val="22"/>
          <w:szCs w:val="22"/>
        </w:rPr>
      </w:pPr>
      <w:r>
        <w:rPr>
          <w:rFonts w:cs="Calibri" w:ascii="Calibri" w:hAnsi="Calibri"/>
          <w:sz w:val="22"/>
          <w:szCs w:val="22"/>
        </w:rPr>
        <w:tab/>
        <w:t>Les dades de l’endeutament segons la liquidació de l’exercici són:</w:t>
      </w:r>
    </w:p>
    <w:p>
      <w:pPr>
        <w:pStyle w:val="Normal"/>
        <w:spacing w:lineRule="auto" w:line="360"/>
        <w:jc w:val="both"/>
        <w:rPr>
          <w:rFonts w:ascii="Calibri" w:hAnsi="Calibri" w:cs="Calibri"/>
          <w:b/>
          <w:b/>
        </w:rPr>
      </w:pPr>
      <w:r>
        <w:rPr>
          <w:rFonts w:cs="Calibri" w:ascii="Calibri" w:hAnsi="Calibri"/>
          <w:b/>
        </w:rPr>
      </w:r>
    </w:p>
    <w:p>
      <w:pPr>
        <w:pStyle w:val="Normal"/>
        <w:spacing w:lineRule="auto" w:line="360"/>
        <w:jc w:val="both"/>
        <w:rPr>
          <w:rFonts w:ascii="Calibri" w:hAnsi="Calibri" w:cs="Calibri"/>
          <w:b/>
          <w:b/>
        </w:rPr>
      </w:pPr>
      <w:r>
        <w:rPr>
          <w:rFonts w:cs="Calibri" w:ascii="Calibri" w:hAnsi="Calibri"/>
          <w:b/>
        </w:rPr>
        <w:t>DEUTE VIU 31/12/2022</w:t>
      </w:r>
    </w:p>
    <w:p>
      <w:pPr>
        <w:pStyle w:val="Normal"/>
        <w:spacing w:lineRule="auto" w:line="360"/>
        <w:jc w:val="both"/>
        <w:rPr>
          <w:rFonts w:ascii="Calibri" w:hAnsi="Calibri" w:cs="Calibri"/>
          <w:b/>
          <w:b/>
        </w:rPr>
      </w:pPr>
      <w:r>
        <w:rPr>
          <w:rFonts w:cs="Calibri" w:ascii="Calibri" w:hAnsi="Calibri"/>
          <w:b/>
        </w:rPr>
      </w:r>
    </w:p>
    <w:p>
      <w:pPr>
        <w:pStyle w:val="Normal"/>
        <w:spacing w:lineRule="auto" w:line="360"/>
        <w:ind w:firstLine="708"/>
        <w:jc w:val="both"/>
        <w:rPr>
          <w:rFonts w:ascii="Calibri" w:hAnsi="Calibri" w:cs="Calibri"/>
          <w:sz w:val="22"/>
          <w:szCs w:val="22"/>
        </w:rPr>
      </w:pPr>
      <w:r>
        <w:rPr>
          <w:rFonts w:cs="Calibri" w:ascii="Calibri" w:hAnsi="Calibri"/>
          <w:sz w:val="22"/>
          <w:szCs w:val="22"/>
        </w:rPr>
        <w:t>L’Ajuntament no disposa d’endeutament a llarg termini.</w:t>
      </w:r>
    </w:p>
    <w:p>
      <w:pPr>
        <w:pStyle w:val="Normal"/>
        <w:spacing w:lineRule="auto" w:line="360"/>
        <w:jc w:val="both"/>
        <w:rPr>
          <w:rFonts w:ascii="Calibri" w:hAnsi="Calibri" w:cs="Calibri"/>
          <w:b/>
          <w:b/>
        </w:rPr>
      </w:pPr>
      <w:r>
        <w:rPr>
          <w:rFonts w:cs="Calibri" w:ascii="Calibri" w:hAnsi="Calibri"/>
          <w:b/>
        </w:rPr>
      </w:r>
    </w:p>
    <w:p>
      <w:pPr>
        <w:pStyle w:val="Normal"/>
        <w:spacing w:lineRule="auto" w:line="360"/>
        <w:jc w:val="both"/>
        <w:rPr>
          <w:rFonts w:ascii="Calibri" w:hAnsi="Calibri" w:cs="Calibri"/>
          <w:b/>
          <w:b/>
        </w:rPr>
      </w:pPr>
      <w:r>
        <w:rPr>
          <w:rFonts w:cs="Calibri" w:ascii="Calibri" w:hAnsi="Calibri"/>
          <w:b/>
        </w:rPr>
        <w:t>PRINCIPALS RÀTIOS SOBRE ENDEUTAMENT</w:t>
      </w:r>
    </w:p>
    <w:p>
      <w:pPr>
        <w:pStyle w:val="Normal"/>
        <w:spacing w:lineRule="auto" w:line="360"/>
        <w:jc w:val="both"/>
        <w:rPr>
          <w:rFonts w:ascii="Calibri" w:hAnsi="Calibri" w:cs="Calibri"/>
          <w:b/>
          <w:b/>
        </w:rPr>
      </w:pPr>
      <w:r>
        <w:rPr>
          <w:rFonts w:cs="Calibri" w:ascii="Calibri" w:hAnsi="Calibri"/>
          <w:b/>
        </w:rPr>
      </w:r>
    </w:p>
    <w:p>
      <w:pPr>
        <w:pStyle w:val="Normal"/>
        <w:spacing w:lineRule="auto" w:line="360"/>
        <w:jc w:val="center"/>
        <w:rPr>
          <w:rFonts w:ascii="Calibri" w:hAnsi="Calibri" w:cs="Calibri"/>
          <w:b/>
          <w:b/>
        </w:rPr>
      </w:pPr>
      <w:r>
        <w:rPr/>
        <w:drawing>
          <wp:inline distT="0" distB="0" distL="0" distR="0">
            <wp:extent cx="4879340" cy="2113915"/>
            <wp:effectExtent l="0" t="0" r="0" b="0"/>
            <wp:docPr id="7" name="Imagen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3" descr=""/>
                    <pic:cNvPicPr>
                      <a:picLocks noChangeAspect="1" noChangeArrowheads="1"/>
                    </pic:cNvPicPr>
                  </pic:nvPicPr>
                  <pic:blipFill>
                    <a:blip r:embed="rId8"/>
                    <a:stretch>
                      <a:fillRect/>
                    </a:stretch>
                  </pic:blipFill>
                  <pic:spPr bwMode="auto">
                    <a:xfrm>
                      <a:off x="0" y="0"/>
                      <a:ext cx="4879340" cy="2113915"/>
                    </a:xfrm>
                    <a:prstGeom prst="rect">
                      <a:avLst/>
                    </a:prstGeom>
                  </pic:spPr>
                </pic:pic>
              </a:graphicData>
            </a:graphic>
          </wp:inline>
        </w:drawing>
      </w:r>
    </w:p>
    <w:p>
      <w:pPr>
        <w:pStyle w:val="Normal"/>
        <w:spacing w:lineRule="auto" w:line="360"/>
        <w:jc w:val="both"/>
        <w:rPr>
          <w:rFonts w:ascii="Calibri" w:hAnsi="Calibri" w:cs="Calibri"/>
          <w:b/>
          <w:b/>
          <w:sz w:val="22"/>
          <w:szCs w:val="22"/>
          <w:highlight w:val="yellow"/>
        </w:rPr>
      </w:pPr>
      <w:r>
        <w:rPr>
          <w:rFonts w:cs="Calibri" w:ascii="Calibri" w:hAnsi="Calibri"/>
          <w:b/>
          <w:sz w:val="22"/>
          <w:szCs w:val="22"/>
          <w:highlight w:val="yellow"/>
        </w:rPr>
      </w:r>
    </w:p>
    <w:p>
      <w:pPr>
        <w:pStyle w:val="Normal"/>
        <w:spacing w:lineRule="auto" w:line="360"/>
        <w:ind w:firstLine="708"/>
        <w:jc w:val="both"/>
        <w:rPr>
          <w:rFonts w:ascii="Calibri" w:hAnsi="Calibri" w:cs="Calibri"/>
          <w:b/>
          <w:b/>
          <w:sz w:val="22"/>
          <w:szCs w:val="22"/>
        </w:rPr>
      </w:pPr>
      <w:r>
        <w:rPr>
          <w:rFonts w:cs="Calibri" w:ascii="Calibri" w:hAnsi="Calibri"/>
          <w:sz w:val="22"/>
          <w:szCs w:val="22"/>
        </w:rPr>
        <w:t xml:space="preserve">Respecte a la liquidació d’aquest exercici, </w:t>
      </w:r>
      <w:r>
        <w:rPr>
          <w:rFonts w:cs="Calibri" w:ascii="Calibri" w:hAnsi="Calibri"/>
          <w:b/>
          <w:sz w:val="22"/>
          <w:szCs w:val="22"/>
        </w:rPr>
        <w:t>l’estalvi net,</w:t>
      </w:r>
      <w:r>
        <w:rPr>
          <w:rFonts w:cs="Calibri" w:ascii="Calibri" w:hAnsi="Calibri"/>
          <w:sz w:val="22"/>
          <w:szCs w:val="22"/>
        </w:rPr>
        <w:t xml:space="preserve"> es situa en un import de 731.809,48 €, complint amb la limitació legal de no ésser negatiu. Per tant, en aplicació de la normativa vigent per a 2022, l’Ajuntament de Petra, es situa dins dels paràmetres legals que permeten la concertació de noves operacions d’endeutament, per al finançament d’inversions</w:t>
      </w:r>
      <w:r>
        <w:rPr>
          <w:rFonts w:cs="Calibri" w:ascii="Calibri" w:hAnsi="Calibri"/>
          <w:b/>
          <w:sz w:val="22"/>
          <w:szCs w:val="22"/>
        </w:rPr>
        <w:t>.</w:t>
      </w:r>
    </w:p>
    <w:p>
      <w:pPr>
        <w:pStyle w:val="Normal"/>
        <w:jc w:val="both"/>
        <w:rPr>
          <w:rFonts w:ascii="Calibri" w:hAnsi="Calibri" w:cs="Calibri"/>
          <w:b/>
          <w:b/>
          <w:highlight w:val="yellow"/>
        </w:rPr>
      </w:pPr>
      <w:r>
        <w:rPr>
          <w:rFonts w:cs="Calibri" w:ascii="Calibri" w:hAnsi="Calibri"/>
          <w:highlight w:val="yellow"/>
        </w:rPr>
        <w:t xml:space="preserve"> </w:t>
      </w:r>
    </w:p>
    <w:p>
      <w:pPr>
        <w:pStyle w:val="Normal"/>
        <w:widowControl w:val="false"/>
        <w:ind w:left="284" w:right="284" w:firstLine="709"/>
        <w:jc w:val="both"/>
        <w:rPr>
          <w:rFonts w:ascii="Arial" w:hAnsi="Arial" w:cs="Arial"/>
          <w:bCs/>
          <w:i/>
          <w:i/>
          <w:sz w:val="20"/>
          <w:szCs w:val="20"/>
          <w:lang w:val="es-ES"/>
        </w:rPr>
      </w:pPr>
      <w:r>
        <w:rPr>
          <w:rFonts w:cs="Arial" w:ascii="Arial" w:hAnsi="Arial"/>
          <w:bCs/>
          <w:i/>
          <w:sz w:val="20"/>
          <w:szCs w:val="20"/>
          <w:lang w:val="es-ES"/>
        </w:rPr>
      </w:r>
    </w:p>
    <w:p>
      <w:pPr>
        <w:pStyle w:val="Normal"/>
        <w:widowControl w:val="false"/>
        <w:ind w:firstLine="709"/>
        <w:jc w:val="both"/>
        <w:rPr>
          <w:rFonts w:ascii="Calibri" w:hAnsi="Calibri" w:cs="Calibri"/>
          <w:b/>
          <w:b/>
          <w:bCs/>
          <w:lang w:eastAsia="en-US"/>
        </w:rPr>
      </w:pPr>
      <w:r>
        <w:rPr>
          <w:rFonts w:cs="Calibri" w:ascii="Calibri" w:hAnsi="Calibri"/>
          <w:b/>
          <w:bCs/>
          <w:lang w:eastAsia="en-US"/>
        </w:rPr>
      </w:r>
    </w:p>
    <w:p>
      <w:pPr>
        <w:pStyle w:val="Normal"/>
        <w:widowControl w:val="false"/>
        <w:ind w:firstLine="709"/>
        <w:jc w:val="both"/>
        <w:rPr>
          <w:rFonts w:ascii="Calibri" w:hAnsi="Calibri" w:cs="Calibri"/>
          <w:b/>
          <w:b/>
          <w:bCs/>
          <w:lang w:eastAsia="en-US"/>
        </w:rPr>
      </w:pPr>
      <w:r>
        <w:rPr>
          <w:rFonts w:cs="Calibri" w:ascii="Calibri" w:hAnsi="Calibri"/>
          <w:b/>
          <w:bCs/>
          <w:lang w:eastAsia="en-US"/>
        </w:rPr>
        <w:t xml:space="preserve">CONCLUSIONS </w:t>
      </w:r>
    </w:p>
    <w:p>
      <w:pPr>
        <w:pStyle w:val="Normal"/>
        <w:widowControl w:val="false"/>
        <w:ind w:firstLine="709"/>
        <w:jc w:val="both"/>
        <w:rPr>
          <w:rFonts w:ascii="Calibri" w:hAnsi="Calibri" w:cs="Calibri"/>
          <w:b/>
          <w:b/>
          <w:bCs/>
          <w:lang w:eastAsia="en-US"/>
        </w:rPr>
      </w:pPr>
      <w:r>
        <w:rPr>
          <w:rFonts w:cs="Calibri" w:ascii="Calibri" w:hAnsi="Calibri"/>
          <w:b/>
          <w:bCs/>
          <w:lang w:eastAsia="en-US"/>
        </w:rPr>
      </w:r>
    </w:p>
    <w:p>
      <w:pPr>
        <w:pStyle w:val="Estnda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rFonts w:ascii="Calibri" w:hAnsi="Calibri" w:asciiTheme="minorHAnsi" w:hAnsiTheme="minorHAnsi"/>
        </w:rPr>
      </w:pPr>
      <w:r>
        <w:rPr>
          <w:rFonts w:cs="Calibri" w:ascii="Calibri" w:hAnsi="Calibri" w:asciiTheme="minorHAnsi" w:hAnsiTheme="minorHAnsi"/>
          <w:sz w:val="22"/>
          <w:szCs w:val="22"/>
          <w:lang w:val="ca-ES"/>
        </w:rPr>
        <w:t xml:space="preserve">               </w:t>
      </w:r>
      <w:r>
        <w:rPr>
          <w:rFonts w:cs="Calibri" w:ascii="Calibri" w:hAnsi="Calibri" w:asciiTheme="minorHAnsi" w:hAnsiTheme="minorHAnsi"/>
          <w:sz w:val="22"/>
          <w:szCs w:val="22"/>
          <w:lang w:val="ca-ES"/>
        </w:rPr>
        <w:t>Ateses les consideracions anteriors, estima l’informant que la liquidació del pressupost objecte d’estudi</w:t>
      </w:r>
      <w:r>
        <w:rPr>
          <w:rFonts w:cs="Calibri" w:ascii="Calibri" w:hAnsi="Calibri" w:asciiTheme="minorHAnsi" w:hAnsiTheme="minorHAnsi"/>
          <w:b/>
          <w:bCs/>
          <w:sz w:val="22"/>
          <w:szCs w:val="22"/>
          <w:lang w:val="ca-ES"/>
        </w:rPr>
        <w:t xml:space="preserve"> </w:t>
      </w:r>
      <w:r>
        <w:rPr>
          <w:rFonts w:cs="Calibri" w:ascii="Calibri" w:hAnsi="Calibri" w:asciiTheme="minorHAnsi" w:hAnsiTheme="minorHAnsi"/>
          <w:b/>
          <w:sz w:val="22"/>
          <w:szCs w:val="22"/>
          <w:lang w:val="ca-ES"/>
        </w:rPr>
        <w:t xml:space="preserve">compleix </w:t>
      </w:r>
      <w:r>
        <w:rPr>
          <w:rFonts w:cs="Calibri" w:ascii="Calibri" w:hAnsi="Calibri" w:asciiTheme="minorHAnsi" w:hAnsiTheme="minorHAnsi"/>
          <w:sz w:val="22"/>
          <w:szCs w:val="22"/>
          <w:lang w:val="ca-ES"/>
        </w:rPr>
        <w:t>amb l’objectiu principal d’estabilitat pressupostaria i amb el de deute públic i el límit d’endeutament aplicable i dona compliment a la sostenibilitat en las operacions comercials</w:t>
      </w:r>
      <w:r>
        <w:rPr>
          <w:rFonts w:cs="Calibri" w:ascii="Calibri" w:hAnsi="Calibri" w:asciiTheme="minorHAnsi" w:hAnsiTheme="minorHAnsi"/>
          <w:b/>
          <w:sz w:val="22"/>
          <w:szCs w:val="22"/>
          <w:lang w:val="ca-ES"/>
        </w:rPr>
        <w:t xml:space="preserve"> , </w:t>
      </w:r>
      <w:r>
        <w:rPr>
          <w:rFonts w:cs="Calibri" w:ascii="Calibri" w:hAnsi="Calibri" w:asciiTheme="minorHAnsi" w:hAnsiTheme="minorHAnsi"/>
          <w:sz w:val="22"/>
          <w:szCs w:val="22"/>
          <w:lang w:val="ca-ES"/>
        </w:rPr>
        <w:t>segons estableix la L.O. 2/2012, d’Estabilitat Pressupostaria i Sostenibilitat Financera, de 27 d’abril.</w:t>
      </w:r>
    </w:p>
    <w:p>
      <w:pPr>
        <w:pStyle w:val="NormalWeb"/>
        <w:spacing w:lineRule="auto" w:line="360" w:before="280" w:after="280"/>
        <w:jc w:val="both"/>
        <w:rPr>
          <w:rFonts w:ascii="Calibri" w:hAnsi="Calibri" w:cs="Calibri"/>
          <w:sz w:val="22"/>
          <w:szCs w:val="22"/>
          <w:lang w:val="ca-ES"/>
        </w:rPr>
      </w:pPr>
      <w:r>
        <w:rPr>
          <w:rFonts w:cs="Calibri" w:ascii="Calibri" w:hAnsi="Calibri"/>
          <w:sz w:val="22"/>
          <w:szCs w:val="22"/>
          <w:lang w:val="ca-ES"/>
        </w:rPr>
        <w:tab/>
        <w:t>No obstant, atès que l’Ajuntament ha de consolidar els seus comptes amb els Organismes Autònoms Escola Municipal de Música de Petra i Fundació Teatre Acció Sociocultural de Petra, s’haurà d’observar el compliment dels esmentats objectius sobre les magnituds consolidades .</w:t>
      </w:r>
    </w:p>
    <w:p>
      <w:pPr>
        <w:pStyle w:val="Normal"/>
        <w:spacing w:lineRule="auto" w:line="360" w:before="0" w:after="120"/>
        <w:ind w:firstLine="720"/>
        <w:jc w:val="both"/>
        <w:rPr>
          <w:rFonts w:ascii="Calibri" w:hAnsi="Calibri" w:cs="Calibri"/>
          <w:sz w:val="22"/>
          <w:szCs w:val="22"/>
        </w:rPr>
      </w:pPr>
      <w:r>
        <w:rPr>
          <w:rFonts w:cs="Calibri" w:ascii="Calibri" w:hAnsi="Calibri"/>
          <w:sz w:val="22"/>
          <w:szCs w:val="22"/>
        </w:rPr>
        <w:t>Així mateix, d’acord a la L.O. 9/2013, de 21 de desembre, de control de deute comercial del sector públic, article primer apartat u, s’entén que compleix el principi de sostenibilitat del deute comercial donat que no supera el termini màxim previst en la normativa sobre morositat, segons estableix l'esmentada Llei en l'article 4 sobre principi de sostenibilitat financera de la  L.O. 2/2012, d’Estabilitat Pressupostària i Sostenibilitat Financera.</w:t>
      </w:r>
    </w:p>
    <w:p>
      <w:pPr>
        <w:pStyle w:val="Estnda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rFonts w:ascii="Calibri" w:hAnsi="Calibri" w:asciiTheme="minorHAnsi" w:hAnsiTheme="minorHAnsi"/>
          <w:sz w:val="22"/>
          <w:szCs w:val="22"/>
          <w:lang w:val="ca-ES"/>
        </w:rPr>
      </w:pPr>
      <w:r>
        <w:rPr>
          <w:rFonts w:asciiTheme="minorHAnsi" w:hAnsiTheme="minorHAnsi" w:ascii="Calibri" w:hAnsi="Calibri"/>
          <w:sz w:val="22"/>
          <w:szCs w:val="22"/>
          <w:lang w:val="ca-ES"/>
        </w:rPr>
      </w:r>
    </w:p>
    <w:p>
      <w:pPr>
        <w:pStyle w:val="Estnda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rFonts w:ascii="Calibri" w:hAnsi="Calibri" w:asciiTheme="minorHAnsi" w:hAnsiTheme="minorHAnsi"/>
          <w:sz w:val="22"/>
          <w:szCs w:val="22"/>
          <w:lang w:val="ca-ES"/>
        </w:rPr>
      </w:pPr>
      <w:r>
        <w:rPr>
          <w:rFonts w:ascii="Calibri" w:hAnsi="Calibri" w:asciiTheme="minorHAnsi" w:hAnsiTheme="minorHAnsi"/>
          <w:sz w:val="22"/>
          <w:szCs w:val="22"/>
          <w:lang w:val="ca-ES"/>
        </w:rPr>
        <w:t xml:space="preserve">               </w:t>
      </w:r>
      <w:r>
        <w:rPr>
          <w:rFonts w:ascii="Calibri" w:hAnsi="Calibri" w:asciiTheme="minorHAnsi" w:hAnsiTheme="minorHAnsi"/>
          <w:sz w:val="22"/>
          <w:szCs w:val="22"/>
          <w:lang w:val="ca-ES"/>
        </w:rPr>
        <w:t>En qualsevol cas, i d'acord amb la suspensió de les regles fiscals no resulten d'aplicació les mesures correctives i coercitives que estableix la L.O. 2/2012, d’Estabilitat Pressupostaria i Sostenibilitat Financera per a l'exercici 2021, excepte les mesures automàtiques de correcció previstes en l'article 20 de la L.O 2/2012 d'estabilitat i sostenibilitat financera, de 27 d'abril i  com primera  conseqüència,  la no obligació d’ aprovar un  Pla econòmic financer per la Corporació.</w:t>
      </w:r>
      <w:bookmarkStart w:id="5" w:name="_Hlk78434795"/>
      <w:bookmarkEnd w:id="5"/>
    </w:p>
    <w:p>
      <w:pPr>
        <w:pStyle w:val="Estnda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rFonts w:ascii="Calibri" w:hAnsi="Calibri" w:asciiTheme="minorHAnsi" w:hAnsiTheme="minorHAnsi"/>
          <w:sz w:val="22"/>
          <w:szCs w:val="22"/>
          <w:lang w:val="ca-ES"/>
        </w:rPr>
      </w:pPr>
      <w:r>
        <w:rPr>
          <w:rFonts w:asciiTheme="minorHAnsi" w:hAnsiTheme="minorHAnsi" w:ascii="Calibri" w:hAnsi="Calibri"/>
          <w:sz w:val="22"/>
          <w:szCs w:val="22"/>
          <w:lang w:val="ca-ES"/>
        </w:rPr>
      </w:r>
    </w:p>
    <w:p>
      <w:pPr>
        <w:pStyle w:val="Estnda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rPr>
          <w:rFonts w:ascii="Calibri" w:hAnsi="Calibri" w:asciiTheme="minorHAnsi" w:hAnsiTheme="minorHAnsi"/>
          <w:sz w:val="22"/>
          <w:szCs w:val="22"/>
          <w:lang w:val="ca-ES"/>
        </w:rPr>
      </w:pPr>
      <w:r>
        <w:rPr>
          <w:rFonts w:asciiTheme="minorHAnsi" w:hAnsiTheme="minorHAnsi" w:ascii="Calibri" w:hAnsi="Calibri"/>
          <w:sz w:val="22"/>
          <w:szCs w:val="22"/>
          <w:lang w:val="ca-ES"/>
        </w:rPr>
      </w:r>
    </w:p>
    <w:p>
      <w:pPr>
        <w:pStyle w:val="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auto" w:line="360"/>
        <w:jc w:val="both"/>
        <w:rPr>
          <w:rFonts w:ascii="Calibri" w:hAnsi="Calibri" w:cs="Calibri"/>
          <w:spacing w:val="-3"/>
        </w:rPr>
      </w:pPr>
      <w:r>
        <w:rPr>
          <w:rFonts w:cs="Calibri" w:ascii="Calibri" w:hAnsi="Calibri"/>
          <w:spacing w:val="-3"/>
        </w:rPr>
        <w:tab/>
        <w:t>A Petra, a                   de                         de 2023.</w:t>
      </w:r>
    </w:p>
    <w:p>
      <w:pPr>
        <w:pStyle w:val="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auto" w:line="360"/>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1440" w:leader="none"/>
          <w:tab w:val="left" w:pos="-720" w:leader="none"/>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auto" w:line="360"/>
        <w:jc w:val="both"/>
        <w:rPr>
          <w:rFonts w:ascii="Calibri" w:hAnsi="Calibri" w:cs="Calibri"/>
          <w:spacing w:val="-3"/>
          <w:sz w:val="22"/>
          <w:szCs w:val="22"/>
        </w:rPr>
      </w:pPr>
      <w:r>
        <w:rPr>
          <w:rFonts w:cs="Calibri" w:ascii="Calibri" w:hAnsi="Calibri"/>
          <w:spacing w:val="-3"/>
          <w:sz w:val="22"/>
          <w:szCs w:val="22"/>
        </w:rPr>
      </w:r>
    </w:p>
    <w:p>
      <w:pPr>
        <w:pStyle w:val="Normal"/>
        <w:tabs>
          <w:tab w:val="clear" w:pos="708"/>
          <w:tab w:val="left" w:pos="-1440" w:leader="none"/>
          <w:tab w:val="left" w:pos="-72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spacing w:lineRule="auto" w:line="360"/>
        <w:ind w:left="4320" w:hanging="0"/>
        <w:jc w:val="both"/>
        <w:rPr>
          <w:rFonts w:ascii="Calibri" w:hAnsi="Calibri" w:cs="Calibri"/>
        </w:rPr>
      </w:pPr>
      <w:r>
        <w:rPr>
          <w:rFonts w:cs="Calibri" w:ascii="Calibri" w:hAnsi="Calibri"/>
          <w:spacing w:val="-3"/>
        </w:rPr>
        <w:t xml:space="preserve">     </w:t>
      </w:r>
      <w:r>
        <w:rPr>
          <w:rFonts w:cs="Calibri" w:ascii="Calibri" w:hAnsi="Calibri"/>
          <w:spacing w:val="-3"/>
        </w:rPr>
        <w:t>EL SECRETARI- INTERVENTOR.</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RESOLUCIÓ.</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A  Petra , a                      de                       del dos mil vint-i-tres.</w:t>
      </w:r>
    </w:p>
    <w:p>
      <w:pPr>
        <w:pStyle w:val="PlainText"/>
        <w:jc w:val="both"/>
        <w:rPr>
          <w:rFonts w:ascii="Calibri" w:hAnsi="Calibri" w:cs="Calibri"/>
          <w:sz w:val="22"/>
          <w:szCs w:val="22"/>
        </w:rPr>
      </w:pPr>
      <w:r>
        <w:rPr>
          <w:rFonts w:cs="Calibri" w:ascii="Calibri" w:hAnsi="Calibri"/>
          <w:sz w:val="22"/>
          <w:szCs w:val="22"/>
        </w:rPr>
      </w:r>
    </w:p>
    <w:p>
      <w:pPr>
        <w:pStyle w:val="PlainText"/>
        <w:rPr>
          <w:rFonts w:ascii="Calibri" w:hAnsi="Calibri" w:cs="Calibri"/>
          <w:sz w:val="22"/>
          <w:szCs w:val="22"/>
        </w:rPr>
      </w:pPr>
      <w:r>
        <w:rPr>
          <w:rFonts w:cs="Calibri" w:ascii="Calibri" w:hAnsi="Calibri"/>
          <w:sz w:val="22"/>
          <w:szCs w:val="22"/>
        </w:rPr>
        <w:tab/>
      </w:r>
    </w:p>
    <w:p>
      <w:pPr>
        <w:pStyle w:val="PlainText"/>
        <w:jc w:val="both"/>
        <w:rPr>
          <w:rFonts w:ascii="Calibri" w:hAnsi="Calibri" w:cs="Calibri"/>
          <w:sz w:val="22"/>
          <w:szCs w:val="22"/>
        </w:rPr>
      </w:pPr>
      <w:r>
        <w:rPr>
          <w:rFonts w:cs="Calibri" w:ascii="Calibri" w:hAnsi="Calibri"/>
          <w:sz w:val="22"/>
          <w:szCs w:val="22"/>
        </w:rPr>
        <w:tab/>
        <w:t>Conseqüentment, la liquidació del Pressupost dona un resultat de 1.221.030,75 Euros, descomptats els saldos de dubtós cobrament, dels quals la quantitat de 294.016,46,- esta afectada per despeses amb finançament afectat.</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rPr>
      </w:pPr>
      <w:r>
        <w:rPr>
          <w:rFonts w:cs="Calibri" w:ascii="Calibri" w:hAnsi="Calibri"/>
          <w:sz w:val="22"/>
          <w:szCs w:val="22"/>
        </w:rPr>
        <w:t xml:space="preserve">Després de la comprovació de que existeixen suficients recursos financers i de l’elaboració d’un estat comprensiu de les operacions de la Liquidació del Pressupost que poden incorporar-se al pressupost immediat següent i que ascendeix a la quantitat total de </w:t>
      </w:r>
      <w:r>
        <w:rPr>
          <w:rFonts w:cs="Calibri" w:ascii="Calibri" w:hAnsi="Calibri"/>
          <w:b/>
          <w:sz w:val="22"/>
          <w:szCs w:val="22"/>
          <w:u w:val="single"/>
        </w:rPr>
        <w:t>707.646,81,- euros</w:t>
      </w:r>
      <w:r>
        <w:rPr>
          <w:rFonts w:cs="Calibri" w:ascii="Calibri" w:hAnsi="Calibri"/>
          <w:sz w:val="22"/>
          <w:szCs w:val="22"/>
        </w:rPr>
        <w:t>, cal especificar que el seu finançament queda distribuït de la següent manera:</w:t>
      </w:r>
    </w:p>
    <w:p>
      <w:pPr>
        <w:pStyle w:val="PlainText"/>
        <w:ind w:left="708" w:hanging="0"/>
        <w:jc w:val="both"/>
        <w:rPr>
          <w:rFonts w:ascii="Calibri" w:hAnsi="Calibri" w:cs="Calibri"/>
          <w:sz w:val="22"/>
          <w:szCs w:val="22"/>
        </w:rPr>
      </w:pPr>
      <w:r>
        <w:rPr>
          <w:rFonts w:cs="Calibri" w:ascii="Calibri" w:hAnsi="Calibri"/>
          <w:sz w:val="22"/>
          <w:szCs w:val="22"/>
        </w:rPr>
      </w:r>
    </w:p>
    <w:p>
      <w:pPr>
        <w:pStyle w:val="PlainText"/>
        <w:numPr>
          <w:ilvl w:val="0"/>
          <w:numId w:val="8"/>
        </w:numPr>
        <w:jc w:val="both"/>
        <w:rPr>
          <w:rFonts w:ascii="Calibri" w:hAnsi="Calibri" w:cs="Calibri"/>
          <w:sz w:val="22"/>
          <w:szCs w:val="22"/>
        </w:rPr>
      </w:pPr>
      <w:r>
        <w:rPr>
          <w:rFonts w:cs="Calibri" w:ascii="Calibri" w:hAnsi="Calibri"/>
          <w:sz w:val="22"/>
          <w:szCs w:val="22"/>
        </w:rPr>
        <w:t>Romanent de tresoreria afectat a despeses amb finançament afectat : 230.286,67 ,- euros (per romanent afectat a despeses que tenen un finançament aliè específic).</w:t>
      </w:r>
    </w:p>
    <w:p>
      <w:pPr>
        <w:pStyle w:val="PlainText"/>
        <w:numPr>
          <w:ilvl w:val="0"/>
          <w:numId w:val="8"/>
        </w:numPr>
        <w:jc w:val="both"/>
        <w:rPr>
          <w:rFonts w:ascii="Calibri" w:hAnsi="Calibri" w:cs="Calibri"/>
          <w:sz w:val="22"/>
          <w:szCs w:val="22"/>
        </w:rPr>
      </w:pPr>
      <w:r>
        <w:rPr>
          <w:rFonts w:cs="Calibri" w:ascii="Calibri" w:hAnsi="Calibri"/>
          <w:sz w:val="22"/>
          <w:szCs w:val="22"/>
        </w:rPr>
        <w:t>A càrrec del Romanent de tresoreria per despeses generals: 144.360,14 ,- euros (per les despeses incorporades finançades amb aportació municipal).</w:t>
      </w:r>
    </w:p>
    <w:p>
      <w:pPr>
        <w:pStyle w:val="PlainText"/>
        <w:numPr>
          <w:ilvl w:val="0"/>
          <w:numId w:val="8"/>
        </w:numPr>
        <w:jc w:val="both"/>
        <w:rPr>
          <w:rFonts w:ascii="Calibri" w:hAnsi="Calibri" w:cs="Calibri"/>
          <w:sz w:val="22"/>
          <w:szCs w:val="22"/>
        </w:rPr>
      </w:pPr>
      <w:r>
        <w:rPr>
          <w:rFonts w:cs="Calibri" w:ascii="Calibri" w:hAnsi="Calibri"/>
          <w:sz w:val="22"/>
          <w:szCs w:val="22"/>
        </w:rPr>
        <w:t xml:space="preserve">A càrrec de compromisos ferms d’aportacions afectats a determinats romanents: 333.000,00 ,- euros.  </w:t>
      </w:r>
    </w:p>
    <w:p>
      <w:pPr>
        <w:pStyle w:val="PlainText"/>
        <w:ind w:left="708" w:hanging="0"/>
        <w:jc w:val="both"/>
        <w:rPr>
          <w:rFonts w:ascii="Calibri" w:hAnsi="Calibri" w:cs="Calibri"/>
          <w:sz w:val="22"/>
          <w:szCs w:val="22"/>
          <w:highlight w:val="yellow"/>
        </w:rPr>
      </w:pPr>
      <w:r>
        <w:rPr>
          <w:rFonts w:cs="Calibri" w:ascii="Calibri" w:hAnsi="Calibri"/>
          <w:sz w:val="22"/>
          <w:szCs w:val="22"/>
          <w:highlight w:val="yellow"/>
        </w:rPr>
      </w:r>
    </w:p>
    <w:p>
      <w:pPr>
        <w:pStyle w:val="PlainText"/>
        <w:ind w:left="708" w:hanging="0"/>
        <w:jc w:val="both"/>
        <w:rPr>
          <w:rFonts w:ascii="Calibri" w:hAnsi="Calibri" w:cs="Calibri"/>
          <w:sz w:val="22"/>
          <w:szCs w:val="22"/>
          <w:highlight w:val="yellow"/>
        </w:rPr>
      </w:pPr>
      <w:r>
        <w:rPr>
          <w:rFonts w:cs="Calibri" w:ascii="Calibri" w:hAnsi="Calibri"/>
          <w:sz w:val="22"/>
          <w:szCs w:val="22"/>
          <w:highlight w:val="yellow"/>
        </w:rPr>
      </w:r>
    </w:p>
    <w:p>
      <w:pPr>
        <w:pStyle w:val="PlainText"/>
        <w:ind w:left="708" w:hanging="0"/>
        <w:jc w:val="both"/>
        <w:rPr>
          <w:rFonts w:ascii="Calibri" w:hAnsi="Calibri" w:cs="Calibri"/>
          <w:sz w:val="22"/>
          <w:szCs w:val="22"/>
          <w:highlight w:val="yellow"/>
        </w:rPr>
      </w:pPr>
      <w:r>
        <w:rPr>
          <w:rFonts w:cs="Calibri" w:ascii="Calibri" w:hAnsi="Calibri"/>
          <w:sz w:val="22"/>
          <w:szCs w:val="22"/>
          <w:highlight w:val="yellow"/>
        </w:rPr>
      </w:r>
    </w:p>
    <w:p>
      <w:pPr>
        <w:pStyle w:val="PlainText"/>
        <w:ind w:left="708" w:hanging="0"/>
        <w:jc w:val="both"/>
        <w:rPr>
          <w:rFonts w:ascii="Calibri" w:hAnsi="Calibri" w:cs="Calibri"/>
          <w:sz w:val="22"/>
          <w:szCs w:val="22"/>
          <w:highlight w:val="yellow"/>
        </w:rPr>
      </w:pPr>
      <w:r>
        <w:rPr>
          <w:rFonts w:cs="Calibri" w:ascii="Calibri" w:hAnsi="Calibri"/>
          <w:sz w:val="22"/>
          <w:szCs w:val="22"/>
          <w:highlight w:val="yellow"/>
        </w:rPr>
      </w:r>
    </w:p>
    <w:p>
      <w:pPr>
        <w:pStyle w:val="PlainText"/>
        <w:ind w:left="708" w:hanging="0"/>
        <w:jc w:val="both"/>
        <w:rPr>
          <w:rFonts w:ascii="Calibri" w:hAnsi="Calibri" w:cs="Calibri"/>
          <w:sz w:val="22"/>
          <w:szCs w:val="22"/>
          <w:highlight w:val="yellow"/>
        </w:rPr>
      </w:pPr>
      <w:r>
        <w:rPr>
          <w:rFonts w:cs="Calibri" w:ascii="Calibri" w:hAnsi="Calibri"/>
          <w:sz w:val="22"/>
          <w:szCs w:val="22"/>
          <w:highlight w:val="yellow"/>
        </w:rPr>
      </w:r>
    </w:p>
    <w:p>
      <w:pPr>
        <w:pStyle w:val="PlainText"/>
        <w:ind w:firstLine="708"/>
        <w:jc w:val="both"/>
        <w:rPr>
          <w:rFonts w:ascii="Calibri" w:hAnsi="Calibri" w:cs="Calibri"/>
          <w:sz w:val="22"/>
          <w:szCs w:val="22"/>
        </w:rPr>
      </w:pPr>
      <w:r>
        <w:rPr>
          <w:rFonts w:cs="Calibri" w:ascii="Calibri" w:hAnsi="Calibri"/>
          <w:sz w:val="22"/>
          <w:szCs w:val="22"/>
        </w:rPr>
        <w:t>A part del romanent afectat utilitzat en la incorporació de romanents de crèdit a l’exercici 2022, hi ha el següent import afectat:</w:t>
      </w:r>
    </w:p>
    <w:p>
      <w:pPr>
        <w:pStyle w:val="PlainText"/>
        <w:ind w:firstLine="708"/>
        <w:jc w:val="both"/>
        <w:rPr>
          <w:rFonts w:ascii="Calibri" w:hAnsi="Calibri" w:cs="Calibri"/>
          <w:sz w:val="22"/>
          <w:szCs w:val="22"/>
        </w:rPr>
      </w:pPr>
      <w:r>
        <w:rPr>
          <w:rFonts w:cs="Calibri" w:ascii="Calibri" w:hAnsi="Calibri"/>
          <w:sz w:val="22"/>
          <w:szCs w:val="22"/>
        </w:rPr>
      </w:r>
    </w:p>
    <w:tbl>
      <w:tblPr>
        <w:tblStyle w:val="Tablaconcuadrcula"/>
        <w:tblW w:w="8359"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412"/>
        <w:gridCol w:w="4982"/>
        <w:gridCol w:w="1965"/>
      </w:tblGrid>
      <w:tr>
        <w:trPr/>
        <w:tc>
          <w:tcPr>
            <w:tcW w:w="1412" w:type="dxa"/>
            <w:tcBorders/>
          </w:tcPr>
          <w:p>
            <w:pPr>
              <w:pStyle w:val="PlainText"/>
              <w:widowControl/>
              <w:spacing w:before="0" w:after="0"/>
              <w:jc w:val="center"/>
              <w:rPr>
                <w:rFonts w:ascii="Calibri" w:hAnsi="Calibri" w:cs="Calibri"/>
                <w:b/>
                <w:b/>
                <w:bCs/>
                <w:sz w:val="22"/>
                <w:szCs w:val="22"/>
              </w:rPr>
            </w:pPr>
            <w:r>
              <w:rPr>
                <w:rFonts w:eastAsia="Times New Roman" w:cs="Calibri" w:ascii="Calibri" w:hAnsi="Calibri"/>
                <w:b/>
                <w:bCs/>
                <w:kern w:val="0"/>
                <w:sz w:val="22"/>
                <w:szCs w:val="22"/>
                <w:lang w:val="ca-ES" w:bidi="ar-SA"/>
              </w:rPr>
              <w:t>PROJECTE</w:t>
            </w:r>
          </w:p>
        </w:tc>
        <w:tc>
          <w:tcPr>
            <w:tcW w:w="4982" w:type="dxa"/>
            <w:tcBorders/>
          </w:tcPr>
          <w:p>
            <w:pPr>
              <w:pStyle w:val="PlainText"/>
              <w:widowControl/>
              <w:spacing w:before="0" w:after="0"/>
              <w:jc w:val="center"/>
              <w:rPr>
                <w:rFonts w:ascii="Calibri" w:hAnsi="Calibri" w:cs="Calibri"/>
                <w:b/>
                <w:b/>
                <w:bCs/>
                <w:sz w:val="22"/>
                <w:szCs w:val="22"/>
              </w:rPr>
            </w:pPr>
            <w:r>
              <w:rPr>
                <w:rFonts w:eastAsia="Times New Roman" w:cs="Calibri" w:ascii="Calibri" w:hAnsi="Calibri"/>
                <w:b/>
                <w:bCs/>
                <w:kern w:val="0"/>
                <w:sz w:val="22"/>
                <w:szCs w:val="22"/>
                <w:lang w:val="ca-ES" w:bidi="ar-SA"/>
              </w:rPr>
              <w:t>DENOMINACIO</w:t>
            </w:r>
          </w:p>
        </w:tc>
        <w:tc>
          <w:tcPr>
            <w:tcW w:w="1965" w:type="dxa"/>
            <w:tcBorders/>
          </w:tcPr>
          <w:p>
            <w:pPr>
              <w:pStyle w:val="PlainText"/>
              <w:widowControl/>
              <w:spacing w:before="0" w:after="0"/>
              <w:jc w:val="center"/>
              <w:rPr>
                <w:rFonts w:ascii="Calibri" w:hAnsi="Calibri" w:cs="Calibri"/>
                <w:b/>
                <w:b/>
                <w:bCs/>
                <w:sz w:val="22"/>
                <w:szCs w:val="22"/>
              </w:rPr>
            </w:pPr>
            <w:r>
              <w:rPr>
                <w:rFonts w:eastAsia="Times New Roman" w:cs="Calibri" w:ascii="Calibri" w:hAnsi="Calibri"/>
                <w:b/>
                <w:bCs/>
                <w:kern w:val="0"/>
                <w:sz w:val="22"/>
                <w:szCs w:val="22"/>
                <w:lang w:val="ca-ES" w:bidi="ar-SA"/>
              </w:rPr>
              <w:t>IMPORT</w:t>
            </w:r>
          </w:p>
        </w:tc>
      </w:tr>
      <w:tr>
        <w:trPr/>
        <w:tc>
          <w:tcPr>
            <w:tcW w:w="141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r>
          </w:p>
        </w:tc>
        <w:tc>
          <w:tcPr>
            <w:tcW w:w="498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ROMANENT AFECTAT PER INCORPORACIÓ ROMANENTS DE CRÈDIT</w:t>
            </w:r>
          </w:p>
        </w:tc>
        <w:tc>
          <w:tcPr>
            <w:tcW w:w="1965" w:type="dxa"/>
            <w:tcBorders/>
          </w:tcPr>
          <w:p>
            <w:pPr>
              <w:pStyle w:val="PlainText"/>
              <w:widowControl/>
              <w:spacing w:before="0" w:after="0"/>
              <w:jc w:val="right"/>
              <w:rPr>
                <w:rFonts w:ascii="Calibri" w:hAnsi="Calibri" w:cs="Calibri"/>
                <w:sz w:val="22"/>
                <w:szCs w:val="22"/>
                <w:highlight w:val="yellow"/>
              </w:rPr>
            </w:pPr>
            <w:r>
              <w:rPr>
                <w:rFonts w:eastAsia="Times New Roman" w:cs="Calibri" w:ascii="Calibri" w:hAnsi="Calibri"/>
                <w:kern w:val="0"/>
                <w:sz w:val="22"/>
                <w:szCs w:val="22"/>
                <w:highlight w:val="yellow"/>
                <w:lang w:val="ca-ES" w:bidi="ar-SA"/>
              </w:rPr>
            </w:r>
          </w:p>
          <w:p>
            <w:pPr>
              <w:pStyle w:val="PlainText"/>
              <w:widowControl/>
              <w:spacing w:before="0" w:after="0"/>
              <w:jc w:val="right"/>
              <w:rPr>
                <w:rFonts w:ascii="Calibri" w:hAnsi="Calibri" w:cs="Calibri"/>
                <w:sz w:val="22"/>
                <w:szCs w:val="22"/>
                <w:highlight w:val="yellow"/>
              </w:rPr>
            </w:pPr>
            <w:r>
              <w:rPr>
                <w:rFonts w:eastAsia="Times New Roman" w:cs="Calibri" w:ascii="Calibri" w:hAnsi="Calibri"/>
                <w:kern w:val="0"/>
                <w:sz w:val="22"/>
                <w:szCs w:val="22"/>
                <w:lang w:val="ca-ES" w:bidi="ar-SA"/>
              </w:rPr>
              <w:t>230.286,67</w:t>
            </w:r>
          </w:p>
        </w:tc>
      </w:tr>
      <w:tr>
        <w:trPr/>
        <w:tc>
          <w:tcPr>
            <w:tcW w:w="141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2021-013-01</w:t>
            </w:r>
          </w:p>
        </w:tc>
        <w:tc>
          <w:tcPr>
            <w:tcW w:w="498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SOIB REACTIVA 2021 NETEJA (A RETORNAR)</w:t>
            </w:r>
          </w:p>
        </w:tc>
        <w:tc>
          <w:tcPr>
            <w:tcW w:w="1965" w:type="dxa"/>
            <w:tcBorders/>
          </w:tcPr>
          <w:p>
            <w:pPr>
              <w:pStyle w:val="PlainText"/>
              <w:widowControl/>
              <w:spacing w:before="0" w:after="0"/>
              <w:jc w:val="right"/>
              <w:rPr>
                <w:rFonts w:ascii="Calibri" w:hAnsi="Calibri" w:cs="Calibri"/>
                <w:sz w:val="22"/>
                <w:szCs w:val="22"/>
              </w:rPr>
            </w:pPr>
            <w:r>
              <w:rPr>
                <w:rFonts w:eastAsia="Times New Roman" w:cs="Calibri" w:ascii="Calibri" w:hAnsi="Calibri"/>
                <w:kern w:val="0"/>
                <w:sz w:val="22"/>
                <w:szCs w:val="22"/>
                <w:lang w:val="ca-ES" w:bidi="ar-SA"/>
              </w:rPr>
              <w:t>8.733,25</w:t>
            </w:r>
          </w:p>
        </w:tc>
      </w:tr>
      <w:tr>
        <w:trPr/>
        <w:tc>
          <w:tcPr>
            <w:tcW w:w="141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2022-005-01</w:t>
            </w:r>
          </w:p>
        </w:tc>
        <w:tc>
          <w:tcPr>
            <w:tcW w:w="498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PAPERERES RECOLLIDA SELECTIVA</w:t>
            </w:r>
          </w:p>
        </w:tc>
        <w:tc>
          <w:tcPr>
            <w:tcW w:w="1965" w:type="dxa"/>
            <w:tcBorders/>
          </w:tcPr>
          <w:p>
            <w:pPr>
              <w:pStyle w:val="PlainText"/>
              <w:widowControl/>
              <w:spacing w:before="0" w:after="0"/>
              <w:jc w:val="right"/>
              <w:rPr>
                <w:rFonts w:ascii="Calibri" w:hAnsi="Calibri" w:cs="Calibri"/>
                <w:sz w:val="22"/>
                <w:szCs w:val="22"/>
              </w:rPr>
            </w:pPr>
            <w:r>
              <w:rPr>
                <w:rFonts w:eastAsia="Times New Roman" w:cs="Calibri" w:ascii="Calibri" w:hAnsi="Calibri"/>
                <w:kern w:val="0"/>
                <w:sz w:val="22"/>
                <w:szCs w:val="22"/>
                <w:lang w:val="ca-ES" w:bidi="ar-SA"/>
              </w:rPr>
              <w:t>6.738,30</w:t>
            </w:r>
          </w:p>
        </w:tc>
      </w:tr>
      <w:tr>
        <w:trPr/>
        <w:tc>
          <w:tcPr>
            <w:tcW w:w="141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2021-023-02</w:t>
            </w:r>
          </w:p>
        </w:tc>
        <w:tc>
          <w:tcPr>
            <w:tcW w:w="4982" w:type="dxa"/>
            <w:tcBorders/>
          </w:tcPr>
          <w:p>
            <w:pPr>
              <w:pStyle w:val="PlainText"/>
              <w:widowControl/>
              <w:spacing w:before="0" w:after="0"/>
              <w:jc w:val="left"/>
              <w:rPr>
                <w:rFonts w:ascii="Calibri" w:hAnsi="Calibri" w:cs="Calibri"/>
                <w:sz w:val="22"/>
                <w:szCs w:val="22"/>
              </w:rPr>
            </w:pPr>
            <w:r>
              <w:rPr>
                <w:rFonts w:eastAsia="Times New Roman" w:cs="Calibri" w:ascii="Calibri" w:hAnsi="Calibri"/>
                <w:kern w:val="0"/>
                <w:sz w:val="22"/>
                <w:szCs w:val="22"/>
                <w:lang w:val="ca-ES" w:bidi="ar-SA"/>
              </w:rPr>
              <w:t xml:space="preserve">MILLORES INSTAL·LACIONS ESPORTIVES </w:t>
            </w:r>
          </w:p>
        </w:tc>
        <w:tc>
          <w:tcPr>
            <w:tcW w:w="1965" w:type="dxa"/>
            <w:tcBorders/>
            <w:shd w:color="auto" w:fill="auto" w:val="clear"/>
          </w:tcPr>
          <w:p>
            <w:pPr>
              <w:pStyle w:val="PlainText"/>
              <w:widowControl/>
              <w:spacing w:before="0" w:after="0"/>
              <w:jc w:val="right"/>
              <w:rPr>
                <w:rFonts w:ascii="Calibri" w:hAnsi="Calibri" w:cs="Calibri"/>
                <w:sz w:val="22"/>
                <w:szCs w:val="22"/>
              </w:rPr>
            </w:pPr>
            <w:r>
              <w:rPr>
                <w:rFonts w:eastAsia="Times New Roman" w:cs="Calibri" w:ascii="Calibri" w:hAnsi="Calibri"/>
                <w:kern w:val="0"/>
                <w:sz w:val="22"/>
                <w:szCs w:val="22"/>
                <w:lang w:val="ca-ES" w:bidi="ar-SA"/>
              </w:rPr>
              <w:t>16.836,92</w:t>
            </w:r>
          </w:p>
        </w:tc>
      </w:tr>
      <w:tr>
        <w:trPr/>
        <w:tc>
          <w:tcPr>
            <w:tcW w:w="141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2022-018-01</w:t>
            </w:r>
          </w:p>
        </w:tc>
        <w:tc>
          <w:tcPr>
            <w:tcW w:w="4982" w:type="dxa"/>
            <w:tcBorders/>
          </w:tcPr>
          <w:p>
            <w:pPr>
              <w:pStyle w:val="PlainText"/>
              <w:widowControl/>
              <w:spacing w:before="0" w:after="0"/>
              <w:jc w:val="left"/>
              <w:rPr>
                <w:rFonts w:ascii="Calibri" w:hAnsi="Calibri" w:cs="Calibri"/>
                <w:sz w:val="22"/>
                <w:szCs w:val="22"/>
              </w:rPr>
            </w:pPr>
            <w:r>
              <w:rPr>
                <w:rFonts w:eastAsia="Times New Roman" w:cs="Calibri" w:ascii="Calibri" w:hAnsi="Calibri"/>
                <w:kern w:val="0"/>
                <w:sz w:val="22"/>
                <w:szCs w:val="22"/>
                <w:lang w:val="ca-ES" w:bidi="ar-SA"/>
              </w:rPr>
              <w:t>POS 2022-2023 DESPESA 2023</w:t>
            </w:r>
          </w:p>
        </w:tc>
        <w:tc>
          <w:tcPr>
            <w:tcW w:w="1965" w:type="dxa"/>
            <w:tcBorders/>
            <w:shd w:color="auto" w:fill="auto" w:val="clear"/>
          </w:tcPr>
          <w:p>
            <w:pPr>
              <w:pStyle w:val="PlainText"/>
              <w:widowControl/>
              <w:spacing w:before="0" w:after="0"/>
              <w:jc w:val="right"/>
              <w:rPr>
                <w:rFonts w:ascii="Calibri" w:hAnsi="Calibri" w:cs="Calibri"/>
                <w:sz w:val="22"/>
                <w:szCs w:val="22"/>
              </w:rPr>
            </w:pPr>
            <w:r>
              <w:rPr>
                <w:rFonts w:eastAsia="Times New Roman" w:cs="Calibri" w:ascii="Calibri" w:hAnsi="Calibri"/>
                <w:kern w:val="0"/>
                <w:sz w:val="22"/>
                <w:szCs w:val="22"/>
                <w:lang w:val="ca-ES" w:bidi="ar-SA"/>
              </w:rPr>
              <w:t>27.555,67</w:t>
            </w:r>
          </w:p>
        </w:tc>
      </w:tr>
      <w:tr>
        <w:trPr/>
        <w:tc>
          <w:tcPr>
            <w:tcW w:w="141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t>2022-002-01</w:t>
            </w:r>
          </w:p>
        </w:tc>
        <w:tc>
          <w:tcPr>
            <w:tcW w:w="4982" w:type="dxa"/>
            <w:tcBorders/>
          </w:tcPr>
          <w:p>
            <w:pPr>
              <w:pStyle w:val="PlainText"/>
              <w:widowControl/>
              <w:spacing w:before="0" w:after="0"/>
              <w:jc w:val="left"/>
              <w:rPr>
                <w:rFonts w:ascii="Calibri" w:hAnsi="Calibri" w:cs="Calibri"/>
                <w:sz w:val="22"/>
                <w:szCs w:val="22"/>
              </w:rPr>
            </w:pPr>
            <w:r>
              <w:rPr>
                <w:rFonts w:eastAsia="Times New Roman" w:cs="Calibri" w:ascii="Calibri" w:hAnsi="Calibri"/>
                <w:kern w:val="0"/>
                <w:sz w:val="22"/>
                <w:szCs w:val="22"/>
                <w:lang w:val="ca-ES" w:bidi="ar-SA"/>
              </w:rPr>
              <w:t>MILLORA XARXA CLAVEGUERAM</w:t>
            </w:r>
          </w:p>
        </w:tc>
        <w:tc>
          <w:tcPr>
            <w:tcW w:w="1965" w:type="dxa"/>
            <w:tcBorders/>
            <w:shd w:color="auto" w:fill="auto" w:val="clear"/>
          </w:tcPr>
          <w:p>
            <w:pPr>
              <w:pStyle w:val="PlainText"/>
              <w:widowControl/>
              <w:spacing w:before="0" w:after="0"/>
              <w:jc w:val="right"/>
              <w:rPr>
                <w:rFonts w:ascii="Calibri" w:hAnsi="Calibri" w:cs="Calibri"/>
                <w:sz w:val="22"/>
                <w:szCs w:val="22"/>
              </w:rPr>
            </w:pPr>
            <w:r>
              <w:rPr>
                <w:rFonts w:eastAsia="Times New Roman" w:cs="Calibri" w:ascii="Calibri" w:hAnsi="Calibri"/>
                <w:kern w:val="0"/>
                <w:sz w:val="22"/>
                <w:szCs w:val="22"/>
                <w:lang w:val="ca-ES" w:bidi="ar-SA"/>
              </w:rPr>
              <w:t>3.865,65</w:t>
            </w:r>
          </w:p>
        </w:tc>
      </w:tr>
      <w:tr>
        <w:trPr/>
        <w:tc>
          <w:tcPr>
            <w:tcW w:w="1412" w:type="dxa"/>
            <w:tcBorders/>
          </w:tcPr>
          <w:p>
            <w:pPr>
              <w:pStyle w:val="PlainText"/>
              <w:widowControl/>
              <w:spacing w:before="0" w:after="0"/>
              <w:jc w:val="both"/>
              <w:rPr>
                <w:rFonts w:ascii="Calibri" w:hAnsi="Calibri" w:cs="Calibri"/>
                <w:sz w:val="22"/>
                <w:szCs w:val="22"/>
              </w:rPr>
            </w:pPr>
            <w:r>
              <w:rPr>
                <w:rFonts w:eastAsia="Times New Roman" w:cs="Calibri" w:ascii="Calibri" w:hAnsi="Calibri"/>
                <w:kern w:val="0"/>
                <w:sz w:val="22"/>
                <w:szCs w:val="22"/>
                <w:lang w:val="ca-ES" w:bidi="ar-SA"/>
              </w:rPr>
            </w:r>
          </w:p>
        </w:tc>
        <w:tc>
          <w:tcPr>
            <w:tcW w:w="4982" w:type="dxa"/>
            <w:tcBorders/>
          </w:tcPr>
          <w:p>
            <w:pPr>
              <w:pStyle w:val="PlainText"/>
              <w:widowControl/>
              <w:spacing w:before="0" w:after="0"/>
              <w:jc w:val="center"/>
              <w:rPr>
                <w:rFonts w:ascii="Calibri" w:hAnsi="Calibri" w:cs="Calibri"/>
                <w:b/>
                <w:b/>
                <w:bCs/>
                <w:sz w:val="22"/>
                <w:szCs w:val="22"/>
              </w:rPr>
            </w:pPr>
            <w:r>
              <w:rPr>
                <w:rFonts w:eastAsia="Times New Roman" w:cs="Calibri" w:ascii="Calibri" w:hAnsi="Calibri"/>
                <w:b/>
                <w:bCs/>
                <w:kern w:val="0"/>
                <w:sz w:val="22"/>
                <w:szCs w:val="22"/>
                <w:lang w:val="ca-ES" w:bidi="ar-SA"/>
              </w:rPr>
              <w:t>T O T A L</w:t>
            </w:r>
          </w:p>
        </w:tc>
        <w:tc>
          <w:tcPr>
            <w:tcW w:w="1965" w:type="dxa"/>
            <w:tcBorders/>
            <w:shd w:color="auto" w:fill="auto" w:val="clear"/>
          </w:tcPr>
          <w:p>
            <w:pPr>
              <w:pStyle w:val="PlainText"/>
              <w:widowControl/>
              <w:spacing w:before="0" w:after="0"/>
              <w:jc w:val="right"/>
              <w:rPr>
                <w:rFonts w:ascii="Calibri" w:hAnsi="Calibri" w:cs="Calibri"/>
                <w:b/>
                <w:b/>
                <w:bCs/>
                <w:sz w:val="22"/>
                <w:szCs w:val="22"/>
              </w:rPr>
            </w:pPr>
            <w:r>
              <w:rPr>
                <w:rFonts w:eastAsia="Times New Roman" w:cs="Calibri" w:ascii="Calibri" w:hAnsi="Calibri"/>
                <w:b/>
                <w:bCs/>
                <w:kern w:val="0"/>
                <w:sz w:val="22"/>
                <w:szCs w:val="22"/>
                <w:lang w:val="ca-ES" w:bidi="ar-SA"/>
              </w:rPr>
              <w:t xml:space="preserve"> </w:t>
            </w:r>
          </w:p>
        </w:tc>
      </w:tr>
    </w:tbl>
    <w:p>
      <w:pPr>
        <w:pStyle w:val="PlainText"/>
        <w:ind w:left="708" w:hanging="0"/>
        <w:jc w:val="both"/>
        <w:rPr>
          <w:rFonts w:ascii="Calibri" w:hAnsi="Calibri" w:cs="Calibri"/>
          <w:sz w:val="22"/>
          <w:szCs w:val="22"/>
        </w:rPr>
      </w:pPr>
      <w:r>
        <w:rPr>
          <w:rFonts w:cs="Calibri" w:ascii="Calibri" w:hAnsi="Calibri"/>
          <w:sz w:val="22"/>
          <w:szCs w:val="22"/>
        </w:rPr>
      </w:r>
    </w:p>
    <w:p>
      <w:pPr>
        <w:pStyle w:val="PlainText"/>
        <w:ind w:left="708" w:hanging="0"/>
        <w:jc w:val="both"/>
        <w:rPr>
          <w:rFonts w:ascii="Calibri" w:hAnsi="Calibri" w:cs="Calibri"/>
          <w:sz w:val="22"/>
          <w:szCs w:val="22"/>
        </w:rPr>
      </w:pPr>
      <w:r>
        <w:rPr>
          <w:rFonts w:cs="Calibri" w:ascii="Calibri" w:hAnsi="Calibri"/>
          <w:sz w:val="22"/>
          <w:szCs w:val="22"/>
        </w:rPr>
      </w:r>
    </w:p>
    <w:p>
      <w:pPr>
        <w:pStyle w:val="PlainText"/>
        <w:ind w:left="708" w:hanging="0"/>
        <w:jc w:val="both"/>
        <w:rPr>
          <w:rFonts w:ascii="Calibri" w:hAnsi="Calibri" w:cs="Calibri"/>
          <w:sz w:val="22"/>
          <w:szCs w:val="22"/>
        </w:rPr>
      </w:pPr>
      <w:r>
        <w:rPr>
          <w:rFonts w:cs="Calibri" w:ascii="Calibri" w:hAnsi="Calibri"/>
          <w:sz w:val="22"/>
          <w:szCs w:val="22"/>
        </w:rPr>
      </w:r>
    </w:p>
    <w:p>
      <w:pPr>
        <w:pStyle w:val="PlainText"/>
        <w:ind w:left="708" w:hanging="0"/>
        <w:jc w:val="both"/>
        <w:rPr>
          <w:rFonts w:ascii="Calibri" w:hAnsi="Calibri" w:cs="Calibri"/>
          <w:sz w:val="22"/>
          <w:szCs w:val="22"/>
        </w:rPr>
      </w:pPr>
      <w:r>
        <w:rPr>
          <w:rFonts w:cs="Calibri" w:ascii="Calibri" w:hAnsi="Calibri"/>
          <w:sz w:val="22"/>
          <w:szCs w:val="22"/>
        </w:rPr>
        <w:t>D’aquesta manera de l’esmentada Liquidació del Pressupost es dedueix el següent Romanent disponible:</w:t>
      </w:r>
    </w:p>
    <w:p>
      <w:pPr>
        <w:pStyle w:val="PlainText"/>
        <w:ind w:left="708" w:hanging="0"/>
        <w:jc w:val="both"/>
        <w:rPr>
          <w:rFonts w:ascii="Calibri" w:hAnsi="Calibri" w:cs="Calibri"/>
          <w:sz w:val="22"/>
          <w:szCs w:val="22"/>
        </w:rPr>
      </w:pPr>
      <w:r>
        <w:rPr>
          <w:rFonts w:cs="Calibri" w:ascii="Calibri" w:hAnsi="Calibri"/>
          <w:sz w:val="22"/>
          <w:szCs w:val="22"/>
        </w:rPr>
      </w:r>
    </w:p>
    <w:p>
      <w:pPr>
        <w:pStyle w:val="PlainText"/>
        <w:ind w:left="708" w:hanging="0"/>
        <w:jc w:val="both"/>
        <w:rPr>
          <w:rFonts w:ascii="Calibri" w:hAnsi="Calibri" w:cs="Calibri"/>
          <w:sz w:val="22"/>
          <w:szCs w:val="22"/>
        </w:rPr>
      </w:pPr>
      <w:r>
        <w:rPr>
          <w:rFonts w:cs="Calibri" w:ascii="Calibri" w:hAnsi="Calibri"/>
          <w:sz w:val="22"/>
          <w:szCs w:val="22"/>
        </w:rPr>
        <w:t>D’aquesta manera de l’esmentada Liquidació del Pressupost es dedueix el següent Romanent disponible:</w:t>
      </w:r>
    </w:p>
    <w:p>
      <w:pPr>
        <w:pStyle w:val="PlainText"/>
        <w:ind w:left="708" w:hanging="0"/>
        <w:jc w:val="both"/>
        <w:rPr>
          <w:rFonts w:ascii="Calibri" w:hAnsi="Calibri" w:cs="Calibri"/>
          <w:sz w:val="22"/>
          <w:szCs w:val="22"/>
        </w:rPr>
      </w:pPr>
      <w:r>
        <w:rPr>
          <w:rFonts w:cs="Calibri" w:ascii="Calibri" w:hAnsi="Calibri"/>
          <w:sz w:val="22"/>
          <w:szCs w:val="22"/>
        </w:rPr>
        <w:t xml:space="preserve"> </w:t>
      </w:r>
    </w:p>
    <w:tbl>
      <w:tblPr>
        <w:tblW w:w="7787"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6010"/>
        <w:gridCol w:w="1776"/>
      </w:tblGrid>
      <w:tr>
        <w:trPr/>
        <w:tc>
          <w:tcPr>
            <w:tcW w:w="6010"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Romanent de tresoreria total</w:t>
            </w:r>
          </w:p>
        </w:tc>
        <w:tc>
          <w:tcPr>
            <w:tcW w:w="17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1.221.030,75</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de tresoreria afectat a despeses amb finançament afectat</w:t>
            </w:r>
          </w:p>
        </w:tc>
        <w:tc>
          <w:tcPr>
            <w:tcW w:w="1776"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r>
          </w:p>
          <w:p>
            <w:pPr>
              <w:pStyle w:val="PlainText"/>
              <w:widowControl w:val="false"/>
              <w:jc w:val="right"/>
              <w:rPr>
                <w:rFonts w:ascii="Calibri" w:hAnsi="Calibri" w:cs="Calibri"/>
                <w:sz w:val="22"/>
                <w:szCs w:val="22"/>
              </w:rPr>
            </w:pPr>
            <w:r>
              <w:rPr>
                <w:rFonts w:cs="Calibri" w:ascii="Calibri" w:hAnsi="Calibri"/>
                <w:sz w:val="22"/>
                <w:szCs w:val="22"/>
              </w:rPr>
              <w:t>294.016,46</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de tresoreria per a despeses generals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927.014,29</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Quantitat utilitzada a càrrec del romanent de tresoreria per despeses generals</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144.360,14</w:t>
            </w:r>
          </w:p>
        </w:tc>
      </w:tr>
      <w:tr>
        <w:trPr/>
        <w:tc>
          <w:tcPr>
            <w:tcW w:w="6010" w:type="dxa"/>
            <w:tcBorders/>
            <w:shd w:color="auto" w:fill="auto" w:val="clear"/>
            <w:vAlign w:val="center"/>
          </w:tcPr>
          <w:p>
            <w:pPr>
              <w:pStyle w:val="PlainText"/>
              <w:widowControl w:val="false"/>
              <w:jc w:val="both"/>
              <w:rPr>
                <w:rFonts w:ascii="Calibri" w:hAnsi="Calibri" w:cs="Calibri"/>
                <w:sz w:val="22"/>
                <w:szCs w:val="22"/>
              </w:rPr>
            </w:pPr>
            <w:r>
              <w:rPr>
                <w:rFonts w:cs="Calibri" w:ascii="Calibri" w:hAnsi="Calibri"/>
                <w:sz w:val="22"/>
                <w:szCs w:val="22"/>
              </w:rPr>
              <w:t>Romanent disponible</w:t>
            </w:r>
          </w:p>
        </w:tc>
        <w:tc>
          <w:tcPr>
            <w:tcW w:w="1776" w:type="dxa"/>
            <w:tcBorders/>
            <w:shd w:color="auto" w:fill="auto" w:val="clear"/>
            <w:vAlign w:val="center"/>
          </w:tcPr>
          <w:p>
            <w:pPr>
              <w:pStyle w:val="PlainText"/>
              <w:widowControl w:val="false"/>
              <w:jc w:val="right"/>
              <w:rPr>
                <w:rFonts w:ascii="Calibri" w:hAnsi="Calibri" w:cs="Calibri"/>
                <w:sz w:val="22"/>
                <w:szCs w:val="22"/>
              </w:rPr>
            </w:pPr>
            <w:r>
              <w:rPr>
                <w:rFonts w:cs="Calibri" w:ascii="Calibri" w:hAnsi="Calibri"/>
                <w:sz w:val="22"/>
                <w:szCs w:val="22"/>
              </w:rPr>
              <w:t>782.654,15</w:t>
            </w:r>
          </w:p>
        </w:tc>
      </w:tr>
    </w:tbl>
    <w:p>
      <w:pPr>
        <w:pStyle w:val="PlainText"/>
        <w:ind w:firstLine="708"/>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sz w:val="22"/>
          <w:szCs w:val="22"/>
        </w:rPr>
      </w:pPr>
      <w:r>
        <w:rPr>
          <w:rFonts w:cs="Calibri" w:ascii="Calibri" w:hAnsi="Calibri"/>
          <w:sz w:val="22"/>
          <w:szCs w:val="22"/>
        </w:rPr>
        <w:t xml:space="preserve">Cal destacar que, si del romanent disponible de 782.654,15 €, restem l’import de les despeses  pendents d’aplicar al pressupost de l’exercici 2022, comptabilitzats al compte 555 per import de  172.227,84 €, i que es reconeixerà extrajudicialment modificant el pressupost 2023 amb càrrec a romanent de 2022,  </w:t>
      </w:r>
      <w:r>
        <w:rPr>
          <w:rFonts w:cs="Calibri" w:ascii="Calibri" w:hAnsi="Calibri"/>
          <w:b/>
          <w:bCs/>
          <w:sz w:val="22"/>
          <w:szCs w:val="22"/>
        </w:rPr>
        <w:t xml:space="preserve">ens queda un romanent disponible final </w:t>
      </w:r>
      <w:r>
        <w:rPr>
          <w:rFonts w:cs="Calibri" w:ascii="Calibri" w:hAnsi="Calibri"/>
          <w:sz w:val="22"/>
          <w:szCs w:val="22"/>
        </w:rPr>
        <w:t>de 610.426,31 €.</w:t>
      </w:r>
    </w:p>
    <w:p>
      <w:pPr>
        <w:pStyle w:val="PlainText"/>
        <w:jc w:val="both"/>
        <w:rPr>
          <w:rFonts w:ascii="Calibri" w:hAnsi="Calibri" w:cs="Calibri"/>
          <w:sz w:val="22"/>
          <w:szCs w:val="22"/>
        </w:rPr>
      </w:pPr>
      <w:r>
        <w:rPr>
          <w:rFonts w:cs="Calibri" w:ascii="Calibri" w:hAnsi="Calibri"/>
          <w:sz w:val="22"/>
          <w:szCs w:val="22"/>
        </w:rPr>
      </w:r>
    </w:p>
    <w:p>
      <w:pPr>
        <w:pStyle w:val="PlainText"/>
        <w:jc w:val="both"/>
        <w:rPr>
          <w:rFonts w:ascii="Calibri" w:hAnsi="Calibri" w:cs="Calibri"/>
          <w:sz w:val="22"/>
          <w:szCs w:val="22"/>
        </w:rPr>
      </w:pPr>
      <w:r>
        <w:rPr>
          <w:rFonts w:cs="Calibri" w:ascii="Calibri" w:hAnsi="Calibri"/>
          <w:sz w:val="22"/>
          <w:szCs w:val="22"/>
        </w:rPr>
        <w:tab/>
      </w:r>
    </w:p>
    <w:p>
      <w:pPr>
        <w:pStyle w:val="PlainText"/>
        <w:jc w:val="both"/>
        <w:rPr>
          <w:rFonts w:ascii="Calibri" w:hAnsi="Calibri" w:cs="Calibri"/>
          <w:sz w:val="22"/>
          <w:szCs w:val="22"/>
        </w:rPr>
      </w:pPr>
      <w:r>
        <w:rPr>
          <w:rFonts w:cs="Calibri" w:ascii="Calibri" w:hAnsi="Calibri"/>
          <w:sz w:val="22"/>
          <w:szCs w:val="22"/>
        </w:rPr>
        <w:tab/>
      </w:r>
    </w:p>
    <w:p>
      <w:pPr>
        <w:pStyle w:val="PlainText"/>
        <w:jc w:val="both"/>
        <w:rPr>
          <w:rFonts w:ascii="Calibri" w:hAnsi="Calibri" w:cs="Calibri"/>
          <w:sz w:val="22"/>
          <w:szCs w:val="22"/>
        </w:rPr>
      </w:pPr>
      <w:r>
        <w:rPr>
          <w:rFonts w:cs="Calibri" w:ascii="Calibri" w:hAnsi="Calibri"/>
          <w:sz w:val="22"/>
          <w:szCs w:val="22"/>
        </w:rPr>
      </w:r>
    </w:p>
    <w:p>
      <w:pPr>
        <w:pStyle w:val="PlainText"/>
        <w:ind w:firstLine="708"/>
        <w:jc w:val="both"/>
        <w:rPr>
          <w:rFonts w:ascii="Calibri" w:hAnsi="Calibri" w:cs="Calibri" w:asciiTheme="minorHAnsi" w:hAnsiTheme="minorHAnsi"/>
          <w:sz w:val="24"/>
          <w:szCs w:val="24"/>
        </w:rPr>
      </w:pPr>
      <w:r>
        <w:rPr>
          <w:rFonts w:cs="Calibri" w:ascii="Calibri" w:hAnsi="Calibri" w:asciiTheme="minorHAnsi" w:hAnsiTheme="minorHAnsi"/>
          <w:sz w:val="24"/>
          <w:szCs w:val="24"/>
        </w:rPr>
        <w:t>De conformitat amb el que es disposa en els esmentats articles, per la  present,</w:t>
      </w:r>
    </w:p>
    <w:p>
      <w:pPr>
        <w:pStyle w:val="PlainText"/>
        <w:jc w:val="both"/>
        <w:rPr>
          <w:rFonts w:ascii="Calibri" w:hAnsi="Calibri" w:cs="Calibri" w:asciiTheme="minorHAnsi" w:hAnsiTheme="minorHAnsi"/>
          <w:sz w:val="24"/>
          <w:szCs w:val="24"/>
        </w:rPr>
      </w:pPr>
      <w:r>
        <w:rPr>
          <w:rFonts w:cs="Calibri" w:ascii="Calibri" w:hAnsi="Calibri"/>
          <w:sz w:val="24"/>
          <w:szCs w:val="24"/>
        </w:rPr>
      </w:r>
    </w:p>
    <w:p>
      <w:pPr>
        <w:pStyle w:val="PlainText"/>
        <w:jc w:val="both"/>
        <w:rPr>
          <w:rFonts w:ascii="Calibri" w:hAnsi="Calibri" w:cs="Calibri" w:asciiTheme="minorHAnsi" w:hAnsiTheme="minorHAnsi"/>
          <w:sz w:val="24"/>
          <w:szCs w:val="24"/>
        </w:rPr>
      </w:pPr>
      <w:r>
        <w:rPr>
          <w:rFonts w:cs="Calibri" w:ascii="Calibri" w:hAnsi="Calibri"/>
          <w:sz w:val="24"/>
          <w:szCs w:val="24"/>
        </w:rPr>
      </w:r>
    </w:p>
    <w:p>
      <w:pPr>
        <w:pStyle w:val="PlainText"/>
        <w:jc w:val="both"/>
        <w:rPr>
          <w:rFonts w:ascii="Calibri" w:hAnsi="Calibri" w:cs="Calibri" w:asciiTheme="minorHAnsi" w:hAnsiTheme="minorHAnsi"/>
          <w:sz w:val="24"/>
          <w:szCs w:val="24"/>
        </w:rPr>
      </w:pPr>
      <w:r>
        <w:rPr>
          <w:rFonts w:cs="Calibri" w:ascii="Calibri" w:hAnsi="Calibri"/>
          <w:sz w:val="24"/>
          <w:szCs w:val="24"/>
        </w:rPr>
      </w:r>
    </w:p>
    <w:p>
      <w:pPr>
        <w:pStyle w:val="PlainText"/>
        <w:jc w:val="both"/>
        <w:rPr>
          <w:rFonts w:ascii="Calibri" w:hAnsi="Calibri" w:cs="Calibri" w:asciiTheme="minorHAnsi" w:hAnsiTheme="minorHAnsi"/>
          <w:sz w:val="24"/>
          <w:szCs w:val="24"/>
        </w:rPr>
      </w:pPr>
      <w:r>
        <w:rPr>
          <w:rFonts w:cs="Calibri" w:ascii="Calibri" w:hAnsi="Calibri" w:asciiTheme="minorHAnsi" w:hAnsiTheme="minorHAnsi"/>
          <w:sz w:val="24"/>
          <w:szCs w:val="24"/>
        </w:rPr>
        <w:tab/>
        <w:t>HE RESOLT: Aprovar la següent liquidació:</w:t>
      </w:r>
    </w:p>
    <w:p>
      <w:pPr>
        <w:pStyle w:val="PlainText"/>
        <w:jc w:val="both"/>
        <w:rPr>
          <w:rFonts w:ascii="Calibri" w:hAnsi="Calibri" w:cs="Calibri" w:asciiTheme="minorHAnsi" w:hAnsiTheme="minorHAnsi"/>
          <w:sz w:val="24"/>
          <w:szCs w:val="24"/>
        </w:rPr>
      </w:pPr>
      <w:r>
        <w:rPr>
          <w:rFonts w:cs="Calibri" w:ascii="Calibri" w:hAnsi="Calibri"/>
          <w:sz w:val="24"/>
          <w:szCs w:val="24"/>
        </w:rPr>
      </w:r>
    </w:p>
    <w:p>
      <w:pPr>
        <w:pStyle w:val="PlainText"/>
        <w:jc w:val="both"/>
        <w:rPr>
          <w:rFonts w:ascii="Calibri" w:hAnsi="Calibri" w:cs="Calibri" w:asciiTheme="minorHAnsi" w:hAnsiTheme="minorHAnsi"/>
          <w:sz w:val="24"/>
          <w:szCs w:val="24"/>
        </w:rPr>
      </w:pPr>
      <w:r>
        <w:rPr>
          <w:rFonts w:cs="Calibri" w:ascii="Calibri" w:hAnsi="Calibri"/>
          <w:sz w:val="24"/>
          <w:szCs w:val="24"/>
        </w:rPr>
      </w:r>
    </w:p>
    <w:p>
      <w:pPr>
        <w:pStyle w:val="PlainText"/>
        <w:jc w:val="both"/>
        <w:rPr>
          <w:rFonts w:ascii="Calibri" w:hAnsi="Calibri" w:cs="Calibri" w:asciiTheme="minorHAnsi" w:hAnsiTheme="minorHAnsi"/>
          <w:sz w:val="24"/>
          <w:szCs w:val="24"/>
        </w:rPr>
      </w:pPr>
      <w:r>
        <w:rPr>
          <w:rFonts w:cs="Calibri" w:ascii="Calibri" w:hAnsi="Calibri"/>
          <w:sz w:val="24"/>
          <w:szCs w:val="24"/>
        </w:rPr>
      </w:r>
    </w:p>
    <w:p>
      <w:pPr>
        <w:pStyle w:val="PlainText"/>
        <w:jc w:val="both"/>
        <w:rPr>
          <w:rFonts w:ascii="Calibri" w:hAnsi="Calibri" w:cs="Calibri" w:asciiTheme="minorHAnsi" w:hAnsiTheme="minorHAnsi"/>
          <w:sz w:val="24"/>
          <w:szCs w:val="24"/>
        </w:rPr>
      </w:pPr>
      <w:r>
        <w:rPr>
          <w:rFonts w:cs="Calibri" w:ascii="Calibri" w:hAnsi="Calibri"/>
          <w:sz w:val="24"/>
          <w:szCs w:val="24"/>
        </w:rPr>
      </w:r>
    </w:p>
    <w:p>
      <w:pPr>
        <w:pStyle w:val="PlainText"/>
        <w:ind w:firstLine="360"/>
        <w:jc w:val="both"/>
        <w:rPr>
          <w:rFonts w:ascii="Calibri" w:hAnsi="Calibri" w:cs="Calibri" w:asciiTheme="minorHAnsi" w:hAnsiTheme="minorHAnsi"/>
          <w:sz w:val="24"/>
          <w:szCs w:val="24"/>
        </w:rPr>
      </w:pPr>
      <w:r>
        <w:rPr>
          <w:rFonts w:cs="Calibri" w:ascii="Calibri" w:hAnsi="Calibri" w:asciiTheme="minorHAnsi" w:hAnsiTheme="minorHAnsi"/>
          <w:sz w:val="24"/>
          <w:szCs w:val="24"/>
          <w:u w:val="single"/>
        </w:rPr>
        <w:t>Resultat Pressupostari</w:t>
      </w:r>
      <w:r>
        <w:rPr>
          <w:rFonts w:cs="Calibri" w:ascii="Calibri" w:hAnsi="Calibri" w:asciiTheme="minorHAnsi" w:hAnsiTheme="minorHAnsi"/>
          <w:sz w:val="24"/>
          <w:szCs w:val="24"/>
        </w:rPr>
        <w:t>:</w:t>
      </w:r>
    </w:p>
    <w:p>
      <w:pPr>
        <w:pStyle w:val="PlainText"/>
        <w:ind w:firstLine="360"/>
        <w:jc w:val="both"/>
        <w:rPr>
          <w:rFonts w:ascii="Calibri" w:hAnsi="Calibri" w:cs="Calibri" w:asciiTheme="minorHAnsi" w:hAnsiTheme="minorHAnsi"/>
          <w:sz w:val="24"/>
          <w:szCs w:val="24"/>
        </w:rPr>
      </w:pPr>
      <w:r>
        <w:rPr>
          <w:rFonts w:cs="Calibri" w:ascii="Calibri" w:hAnsi="Calibri"/>
          <w:sz w:val="24"/>
          <w:szCs w:val="24"/>
        </w:rPr>
      </w:r>
    </w:p>
    <w:p>
      <w:pPr>
        <w:pStyle w:val="PlainText"/>
        <w:jc w:val="both"/>
        <w:rPr>
          <w:rFonts w:ascii="Calibri" w:hAnsi="Calibri" w:cs="Calibri"/>
          <w:sz w:val="22"/>
          <w:szCs w:val="22"/>
          <w:highlight w:val="yellow"/>
        </w:rPr>
      </w:pPr>
      <w:r>
        <w:rPr>
          <w:rFonts w:cs="Calibri" w:ascii="Calibri" w:hAnsi="Calibri"/>
          <w:sz w:val="22"/>
          <w:szCs w:val="22"/>
          <w:highlight w:val="yellow"/>
        </w:rPr>
      </w:r>
    </w:p>
    <w:tbl>
      <w:tblPr>
        <w:tblW w:w="7371" w:type="dxa"/>
        <w:jc w:val="left"/>
        <w:tblInd w:w="534" w:type="dxa"/>
        <w:tblLayout w:type="fixed"/>
        <w:tblCellMar>
          <w:top w:w="0" w:type="dxa"/>
          <w:left w:w="108" w:type="dxa"/>
          <w:bottom w:w="0" w:type="dxa"/>
          <w:right w:w="108" w:type="dxa"/>
        </w:tblCellMar>
        <w:tblLook w:firstRow="1" w:noVBand="1" w:lastRow="0" w:firstColumn="1" w:lastColumn="0" w:noHBand="0" w:val="04a0"/>
      </w:tblPr>
      <w:tblGrid>
        <w:gridCol w:w="566"/>
        <w:gridCol w:w="4536"/>
        <w:gridCol w:w="2269"/>
      </w:tblGrid>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1.</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DRETS RECONEGUTS NETS</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3.298.696,25</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2.</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OBLIGACIONS RECONEGUDES NETES</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9.057.834,43</w:t>
            </w:r>
          </w:p>
        </w:tc>
      </w:tr>
      <w:tr>
        <w:trPr/>
        <w:tc>
          <w:tcPr>
            <w:tcW w:w="56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r>
          </w:p>
        </w:tc>
        <w:tc>
          <w:tcPr>
            <w:tcW w:w="453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t>RESULTAT PRESSUPOSTARI DE L’EXERCICI</w:t>
            </w:r>
          </w:p>
        </w:tc>
        <w:tc>
          <w:tcPr>
            <w:tcW w:w="2269" w:type="dxa"/>
            <w:tcBorders/>
            <w:shd w:color="auto" w:fill="auto" w:val="clear"/>
          </w:tcPr>
          <w:p>
            <w:pPr>
              <w:pStyle w:val="PlainText"/>
              <w:widowControl w:val="false"/>
              <w:jc w:val="right"/>
              <w:rPr>
                <w:rFonts w:ascii="Calibri" w:hAnsi="Calibri" w:cs="Calibri"/>
                <w:b/>
                <w:b/>
                <w:sz w:val="22"/>
                <w:szCs w:val="22"/>
              </w:rPr>
            </w:pPr>
            <w:r>
              <w:rPr>
                <w:rFonts w:cs="Calibri" w:ascii="Calibri" w:hAnsi="Calibri"/>
                <w:b/>
                <w:sz w:val="22"/>
                <w:szCs w:val="22"/>
              </w:rPr>
              <w:t>-5.759.138,18</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3.</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Crèdits finançats amb romanent general</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6.198.120,32</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4.</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Desviacions de finançament negatiu</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460.892,46</w:t>
            </w:r>
          </w:p>
        </w:tc>
      </w:tr>
      <w:tr>
        <w:trPr/>
        <w:tc>
          <w:tcPr>
            <w:tcW w:w="56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5.</w:t>
            </w:r>
          </w:p>
        </w:tc>
        <w:tc>
          <w:tcPr>
            <w:tcW w:w="453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 Desviacions de finançament positiu</w:t>
            </w:r>
          </w:p>
        </w:tc>
        <w:tc>
          <w:tcPr>
            <w:tcW w:w="2269"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268.446,29</w:t>
            </w:r>
          </w:p>
        </w:tc>
      </w:tr>
      <w:tr>
        <w:trPr/>
        <w:tc>
          <w:tcPr>
            <w:tcW w:w="56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r>
          </w:p>
        </w:tc>
        <w:tc>
          <w:tcPr>
            <w:tcW w:w="453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t>RESULTAT PRESSUPOSTARI AJUSTAT</w:t>
            </w:r>
          </w:p>
        </w:tc>
        <w:tc>
          <w:tcPr>
            <w:tcW w:w="2269" w:type="dxa"/>
            <w:tcBorders/>
            <w:shd w:color="auto" w:fill="auto" w:val="clear"/>
          </w:tcPr>
          <w:p>
            <w:pPr>
              <w:pStyle w:val="PlainText"/>
              <w:widowControl w:val="false"/>
              <w:jc w:val="right"/>
              <w:rPr>
                <w:rFonts w:ascii="Calibri" w:hAnsi="Calibri" w:cs="Calibri"/>
                <w:b/>
                <w:b/>
                <w:sz w:val="22"/>
                <w:szCs w:val="22"/>
              </w:rPr>
            </w:pPr>
            <w:r>
              <w:rPr>
                <w:rFonts w:cs="Calibri" w:ascii="Calibri" w:hAnsi="Calibri"/>
                <w:b/>
                <w:sz w:val="22"/>
                <w:szCs w:val="22"/>
              </w:rPr>
              <w:t>631.428,31</w:t>
            </w:r>
          </w:p>
        </w:tc>
      </w:tr>
    </w:tbl>
    <w:p>
      <w:pPr>
        <w:pStyle w:val="PlainText"/>
        <w:jc w:val="both"/>
        <w:rPr>
          <w:rFonts w:ascii="Calibri" w:hAnsi="Calibri" w:cs="Calibri"/>
          <w:sz w:val="22"/>
          <w:szCs w:val="22"/>
          <w:highlight w:val="yellow"/>
        </w:rPr>
      </w:pPr>
      <w:r>
        <w:rPr>
          <w:rFonts w:cs="Calibri" w:ascii="Calibri" w:hAnsi="Calibri"/>
          <w:sz w:val="22"/>
          <w:szCs w:val="22"/>
          <w:highlight w:val="yellow"/>
        </w:rPr>
      </w:r>
    </w:p>
    <w:p>
      <w:pPr>
        <w:pStyle w:val="PlainText"/>
        <w:jc w:val="both"/>
        <w:rPr>
          <w:rFonts w:ascii="Calibri" w:hAnsi="Calibri" w:cs="Calibri"/>
          <w:sz w:val="22"/>
          <w:szCs w:val="22"/>
          <w:highlight w:val="yellow"/>
        </w:rPr>
      </w:pPr>
      <w:r>
        <w:rPr>
          <w:rFonts w:cs="Calibri" w:ascii="Calibri" w:hAnsi="Calibri"/>
          <w:sz w:val="22"/>
          <w:szCs w:val="22"/>
          <w:highlight w:val="yellow"/>
        </w:rPr>
      </w:r>
    </w:p>
    <w:p>
      <w:pPr>
        <w:pStyle w:val="PlainText"/>
        <w:jc w:val="both"/>
        <w:rPr>
          <w:rFonts w:ascii="Calibri" w:hAnsi="Calibri" w:cs="Calibri"/>
          <w:sz w:val="22"/>
          <w:szCs w:val="22"/>
          <w:highlight w:val="yellow"/>
        </w:rPr>
      </w:pPr>
      <w:r>
        <w:rPr>
          <w:rFonts w:cs="Calibri" w:ascii="Calibri" w:hAnsi="Calibri"/>
          <w:sz w:val="22"/>
          <w:szCs w:val="22"/>
          <w:highlight w:val="yellow"/>
        </w:rPr>
      </w:r>
    </w:p>
    <w:p>
      <w:pPr>
        <w:pStyle w:val="PlainText"/>
        <w:jc w:val="both"/>
        <w:rPr>
          <w:rFonts w:ascii="Calibri" w:hAnsi="Calibri" w:cs="Calibri"/>
          <w:sz w:val="22"/>
          <w:szCs w:val="22"/>
          <w:highlight w:val="yellow"/>
        </w:rPr>
      </w:pPr>
      <w:r>
        <w:rPr>
          <w:rFonts w:cs="Calibri" w:ascii="Calibri" w:hAnsi="Calibri"/>
          <w:sz w:val="22"/>
          <w:szCs w:val="22"/>
          <w:highlight w:val="yellow"/>
        </w:rPr>
      </w:r>
    </w:p>
    <w:p>
      <w:pPr>
        <w:pStyle w:val="PlainText"/>
        <w:ind w:firstLine="360"/>
        <w:jc w:val="both"/>
        <w:rPr>
          <w:rFonts w:ascii="Calibri" w:hAnsi="Calibri" w:cs="Calibri"/>
          <w:sz w:val="22"/>
          <w:szCs w:val="22"/>
        </w:rPr>
      </w:pPr>
      <w:r>
        <w:rPr>
          <w:rFonts w:cs="Calibri" w:ascii="Calibri" w:hAnsi="Calibri"/>
          <w:sz w:val="22"/>
          <w:szCs w:val="22"/>
        </w:rPr>
        <w:t xml:space="preserve">De l'esmentada liquidació es dedueix el següent </w:t>
      </w:r>
      <w:r>
        <w:rPr>
          <w:rFonts w:cs="Calibri" w:ascii="Calibri" w:hAnsi="Calibri"/>
          <w:sz w:val="22"/>
          <w:szCs w:val="22"/>
          <w:u w:val="single"/>
        </w:rPr>
        <w:t>Romanent de Tresoreria</w:t>
      </w:r>
      <w:r>
        <w:rPr>
          <w:rFonts w:cs="Calibri" w:ascii="Calibri" w:hAnsi="Calibri"/>
          <w:sz w:val="22"/>
          <w:szCs w:val="22"/>
        </w:rPr>
        <w:t>:</w:t>
      </w:r>
    </w:p>
    <w:p>
      <w:pPr>
        <w:pStyle w:val="PlainText"/>
        <w:ind w:firstLine="360"/>
        <w:jc w:val="both"/>
        <w:rPr>
          <w:rFonts w:ascii="Calibri" w:hAnsi="Calibri" w:cs="Calibri"/>
          <w:sz w:val="22"/>
          <w:szCs w:val="22"/>
        </w:rPr>
      </w:pPr>
      <w:r>
        <w:rPr>
          <w:rFonts w:cs="Calibri" w:ascii="Calibri" w:hAnsi="Calibri"/>
          <w:sz w:val="22"/>
          <w:szCs w:val="22"/>
        </w:rPr>
      </w:r>
    </w:p>
    <w:p>
      <w:pPr>
        <w:pStyle w:val="PlainText"/>
        <w:ind w:firstLine="360"/>
        <w:jc w:val="both"/>
        <w:rPr>
          <w:rFonts w:ascii="Calibri" w:hAnsi="Calibri" w:cs="Calibri"/>
          <w:sz w:val="22"/>
          <w:szCs w:val="22"/>
        </w:rPr>
      </w:pPr>
      <w:r>
        <w:rPr>
          <w:rFonts w:cs="Calibri" w:ascii="Calibri" w:hAnsi="Calibri"/>
          <w:sz w:val="22"/>
          <w:szCs w:val="22"/>
        </w:rPr>
      </w:r>
    </w:p>
    <w:tbl>
      <w:tblPr>
        <w:tblW w:w="9069" w:type="dxa"/>
        <w:jc w:val="left"/>
        <w:tblInd w:w="534" w:type="dxa"/>
        <w:tblLayout w:type="fixed"/>
        <w:tblCellMar>
          <w:top w:w="0" w:type="dxa"/>
          <w:left w:w="108" w:type="dxa"/>
          <w:bottom w:w="0" w:type="dxa"/>
          <w:right w:w="108" w:type="dxa"/>
        </w:tblCellMar>
        <w:tblLook w:firstRow="1" w:noVBand="1" w:lastRow="0" w:firstColumn="1" w:lastColumn="0" w:noHBand="0" w:val="04a0"/>
      </w:tblPr>
      <w:tblGrid>
        <w:gridCol w:w="546"/>
        <w:gridCol w:w="4235"/>
        <w:gridCol w:w="2176"/>
        <w:gridCol w:w="2111"/>
      </w:tblGrid>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1.</w:t>
            </w:r>
          </w:p>
        </w:tc>
        <w:tc>
          <w:tcPr>
            <w:tcW w:w="6411" w:type="dxa"/>
            <w:gridSpan w:val="2"/>
            <w:tcBorders/>
            <w:shd w:color="auto" w:fill="auto" w:val="clear"/>
          </w:tcPr>
          <w:p>
            <w:pPr>
              <w:pStyle w:val="PlainText"/>
              <w:widowControl w:val="false"/>
              <w:rPr>
                <w:rFonts w:ascii="Calibri" w:hAnsi="Calibri" w:cs="Calibri"/>
                <w:sz w:val="22"/>
                <w:szCs w:val="22"/>
              </w:rPr>
            </w:pPr>
            <w:r>
              <w:rPr>
                <w:rFonts w:cs="Calibri" w:ascii="Calibri" w:hAnsi="Calibri"/>
                <w:sz w:val="22"/>
                <w:szCs w:val="22"/>
              </w:rPr>
              <w:t>(+) DEUTORS PENDENTS DE COBRAMENT A FI D’EXERCICI</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2.646.509,39</w:t>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Del Pressupost d’Ingressos. Ppt. Corrent</w:t>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723.742,14</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Del Pressupost d’Ingressos. Ppt. Tancat</w:t>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1.633.595,84</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D’altres operacions no pressupostàries</w:t>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289.171,41</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2.</w:t>
            </w:r>
          </w:p>
        </w:tc>
        <w:tc>
          <w:tcPr>
            <w:tcW w:w="6411" w:type="dxa"/>
            <w:gridSpan w:val="2"/>
            <w:tcBorders/>
            <w:shd w:color="auto" w:fill="auto" w:val="clear"/>
          </w:tcPr>
          <w:p>
            <w:pPr>
              <w:pStyle w:val="PlainText"/>
              <w:widowControl w:val="false"/>
              <w:rPr>
                <w:rFonts w:ascii="Calibri" w:hAnsi="Calibri" w:cs="Calibri"/>
                <w:sz w:val="22"/>
                <w:szCs w:val="22"/>
              </w:rPr>
            </w:pPr>
            <w:r>
              <w:rPr>
                <w:rFonts w:cs="Calibri" w:ascii="Calibri" w:hAnsi="Calibri"/>
                <w:sz w:val="22"/>
                <w:szCs w:val="22"/>
              </w:rPr>
              <w:t>(-) CREDITORS PENDENTS DE PAGAMENT A FI D’EXERCICI</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475.906,98</w:t>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Del Pressupost de Despeses. Ppt. Corrent</w:t>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414.672,18</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Del Pressupost de Despeses. Ppt. Tancat</w:t>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2.143,58</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D’altres operacions no pressupostàries</w:t>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59.091,22</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3.</w:t>
            </w:r>
          </w:p>
        </w:tc>
        <w:tc>
          <w:tcPr>
            <w:tcW w:w="6411" w:type="dxa"/>
            <w:gridSpan w:val="2"/>
            <w:tcBorders/>
            <w:shd w:color="auto" w:fill="auto" w:val="clear"/>
          </w:tcPr>
          <w:p>
            <w:pPr>
              <w:pStyle w:val="PlainText"/>
              <w:widowControl w:val="false"/>
              <w:rPr>
                <w:rFonts w:ascii="Calibri" w:hAnsi="Calibri" w:cs="Calibri"/>
                <w:sz w:val="22"/>
                <w:szCs w:val="22"/>
              </w:rPr>
            </w:pPr>
            <w:r>
              <w:rPr>
                <w:rFonts w:cs="Calibri" w:ascii="Calibri" w:hAnsi="Calibri"/>
                <w:sz w:val="22"/>
                <w:szCs w:val="22"/>
              </w:rPr>
              <w:t>(+) FONS LÍQUIDS EN LA TRESORERIA A FI D’EXERCICI</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109.759,38</w:t>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6411" w:type="dxa"/>
            <w:gridSpan w:val="2"/>
            <w:tcBorders/>
            <w:shd w:color="auto" w:fill="auto" w:val="clear"/>
          </w:tcPr>
          <w:p>
            <w:pPr>
              <w:pStyle w:val="PlainText"/>
              <w:widowControl w:val="false"/>
              <w:rPr>
                <w:rFonts w:ascii="Calibri" w:hAnsi="Calibri" w:cs="Calibri"/>
                <w:sz w:val="22"/>
                <w:szCs w:val="22"/>
              </w:rPr>
            </w:pPr>
            <w:r>
              <w:rPr>
                <w:rFonts w:cs="Calibri" w:ascii="Calibri" w:hAnsi="Calibri"/>
                <w:sz w:val="22"/>
                <w:szCs w:val="22"/>
              </w:rPr>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4.</w:t>
            </w:r>
          </w:p>
        </w:tc>
        <w:tc>
          <w:tcPr>
            <w:tcW w:w="6411" w:type="dxa"/>
            <w:gridSpan w:val="2"/>
            <w:tcBorders/>
            <w:shd w:color="auto" w:fill="auto" w:val="clear"/>
          </w:tcPr>
          <w:p>
            <w:pPr>
              <w:pStyle w:val="PlainText"/>
              <w:widowControl w:val="false"/>
              <w:rPr>
                <w:rFonts w:ascii="Calibri" w:hAnsi="Calibri" w:cs="Calibri"/>
                <w:sz w:val="22"/>
                <w:szCs w:val="22"/>
              </w:rPr>
            </w:pPr>
            <w:r>
              <w:rPr>
                <w:rFonts w:cs="Calibri" w:ascii="Calibri" w:hAnsi="Calibri"/>
                <w:sz w:val="22"/>
                <w:szCs w:val="22"/>
              </w:rPr>
              <w:t>(+) PARTIDES PENDENTS D’APLICACIÓ</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105.731,65</w:t>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6411" w:type="dxa"/>
            <w:gridSpan w:val="2"/>
            <w:tcBorders/>
            <w:shd w:color="auto" w:fill="auto" w:val="clear"/>
          </w:tcPr>
          <w:p>
            <w:pPr>
              <w:pStyle w:val="PlainText"/>
              <w:widowControl w:val="false"/>
              <w:rPr>
                <w:rFonts w:ascii="Calibri" w:hAnsi="Calibri" w:cs="Calibri"/>
                <w:sz w:val="22"/>
                <w:szCs w:val="22"/>
              </w:rPr>
            </w:pPr>
            <w:r>
              <w:rPr>
                <w:rFonts w:cs="Calibri" w:ascii="Calibri" w:hAnsi="Calibri"/>
                <w:sz w:val="22"/>
                <w:szCs w:val="22"/>
              </w:rPr>
              <w:t>MENYS = Ingressos pendents aplic. Def                                              0,00</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MÉS=Pagament pendents aplic. Def.</w:t>
            </w:r>
          </w:p>
        </w:tc>
        <w:tc>
          <w:tcPr>
            <w:tcW w:w="2176" w:type="dxa"/>
            <w:tcBorders/>
            <w:shd w:color="auto" w:fill="auto" w:val="clear"/>
          </w:tcPr>
          <w:p>
            <w:pPr>
              <w:pStyle w:val="PlainText"/>
              <w:widowControl w:val="false"/>
              <w:jc w:val="center"/>
              <w:rPr>
                <w:rFonts w:ascii="Calibri" w:hAnsi="Calibri" w:cs="Calibri"/>
                <w:sz w:val="22"/>
                <w:szCs w:val="22"/>
              </w:rPr>
            </w:pPr>
            <w:r>
              <w:rPr>
                <w:rFonts w:cs="Calibri" w:ascii="Calibri" w:hAnsi="Calibri"/>
                <w:sz w:val="22"/>
                <w:szCs w:val="22"/>
              </w:rPr>
              <w:t xml:space="preserve">                   </w:t>
            </w:r>
            <w:r>
              <w:rPr>
                <w:rFonts w:cs="Calibri" w:ascii="Calibri" w:hAnsi="Calibri"/>
                <w:sz w:val="22"/>
                <w:szCs w:val="22"/>
              </w:rPr>
              <w:t>105.731,65</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r>
          </w:p>
        </w:tc>
        <w:tc>
          <w:tcPr>
            <w:tcW w:w="6411" w:type="dxa"/>
            <w:gridSpan w:val="2"/>
            <w:tcBorders/>
            <w:shd w:color="auto" w:fill="auto" w:val="clear"/>
          </w:tcPr>
          <w:p>
            <w:pPr>
              <w:pStyle w:val="PlainText"/>
              <w:widowControl w:val="false"/>
              <w:rPr>
                <w:rFonts w:ascii="Calibri" w:hAnsi="Calibri" w:cs="Calibri"/>
                <w:b/>
                <w:b/>
                <w:sz w:val="22"/>
                <w:szCs w:val="22"/>
              </w:rPr>
            </w:pPr>
            <w:r>
              <w:rPr>
                <w:rFonts w:cs="Calibri" w:ascii="Calibri" w:hAnsi="Calibri"/>
                <w:b/>
                <w:sz w:val="22"/>
                <w:szCs w:val="22"/>
              </w:rPr>
            </w:r>
          </w:p>
        </w:tc>
        <w:tc>
          <w:tcPr>
            <w:tcW w:w="2111" w:type="dxa"/>
            <w:tcBorders/>
            <w:shd w:color="auto" w:fill="auto" w:val="clear"/>
          </w:tcPr>
          <w:p>
            <w:pPr>
              <w:pStyle w:val="PlainText"/>
              <w:widowControl w:val="false"/>
              <w:jc w:val="right"/>
              <w:rPr>
                <w:rFonts w:ascii="Calibri" w:hAnsi="Calibri" w:cs="Calibri"/>
                <w:b/>
                <w:b/>
                <w:sz w:val="22"/>
                <w:szCs w:val="22"/>
              </w:rPr>
            </w:pPr>
            <w:r>
              <w:rPr>
                <w:rFonts w:cs="Calibri" w:ascii="Calibri" w:hAnsi="Calibri"/>
                <w:b/>
                <w:sz w:val="22"/>
                <w:szCs w:val="22"/>
              </w:rPr>
            </w:r>
          </w:p>
        </w:tc>
      </w:tr>
      <w:tr>
        <w:trPr/>
        <w:tc>
          <w:tcPr>
            <w:tcW w:w="54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r>
          </w:p>
        </w:tc>
        <w:tc>
          <w:tcPr>
            <w:tcW w:w="6411" w:type="dxa"/>
            <w:gridSpan w:val="2"/>
            <w:tcBorders/>
            <w:shd w:color="auto" w:fill="auto" w:val="clear"/>
          </w:tcPr>
          <w:p>
            <w:pPr>
              <w:pStyle w:val="PlainText"/>
              <w:widowControl w:val="false"/>
              <w:rPr>
                <w:rFonts w:ascii="Calibri" w:hAnsi="Calibri" w:cs="Calibri"/>
                <w:b/>
                <w:b/>
                <w:sz w:val="22"/>
                <w:szCs w:val="22"/>
              </w:rPr>
            </w:pPr>
            <w:r>
              <w:rPr>
                <w:rFonts w:cs="Calibri" w:ascii="Calibri" w:hAnsi="Calibri"/>
                <w:b/>
                <w:sz w:val="22"/>
                <w:szCs w:val="22"/>
              </w:rPr>
              <w:t>ROMANENT DE TRESORERIA TOTAL</w:t>
            </w:r>
          </w:p>
        </w:tc>
        <w:tc>
          <w:tcPr>
            <w:tcW w:w="2111" w:type="dxa"/>
            <w:tcBorders/>
            <w:shd w:color="auto" w:fill="auto" w:val="clear"/>
          </w:tcPr>
          <w:p>
            <w:pPr>
              <w:pStyle w:val="PlainText"/>
              <w:widowControl w:val="false"/>
              <w:jc w:val="right"/>
              <w:rPr>
                <w:rFonts w:ascii="Calibri" w:hAnsi="Calibri" w:cs="Calibri"/>
                <w:b/>
                <w:b/>
                <w:sz w:val="22"/>
                <w:szCs w:val="22"/>
              </w:rPr>
            </w:pPr>
            <w:r>
              <w:rPr>
                <w:rFonts w:cs="Calibri" w:ascii="Calibri" w:hAnsi="Calibri"/>
                <w:b/>
                <w:sz w:val="22"/>
                <w:szCs w:val="22"/>
              </w:rPr>
              <w:t>2.386.093,44</w:t>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4.</w:t>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SALDOS DE DUBTÓS COBRAMENT</w:t>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t>1.165.062,69</w:t>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t>5.</w:t>
            </w:r>
          </w:p>
        </w:tc>
        <w:tc>
          <w:tcPr>
            <w:tcW w:w="6411" w:type="dxa"/>
            <w:gridSpan w:val="2"/>
            <w:tcBorders/>
            <w:shd w:color="auto" w:fill="auto" w:val="clear"/>
          </w:tcPr>
          <w:p>
            <w:pPr>
              <w:pStyle w:val="PlainText"/>
              <w:widowControl w:val="false"/>
              <w:rPr>
                <w:rFonts w:ascii="Calibri" w:hAnsi="Calibri" w:cs="Calibri"/>
                <w:sz w:val="22"/>
                <w:szCs w:val="22"/>
              </w:rPr>
            </w:pPr>
            <w:r>
              <w:rPr>
                <w:rFonts w:cs="Calibri" w:ascii="Calibri" w:hAnsi="Calibri"/>
                <w:sz w:val="22"/>
                <w:szCs w:val="22"/>
              </w:rPr>
              <w:t>ROMANENT TRESORERIA AFECTAT A DESPESES AMB FINANÇ. AFECTAT</w:t>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p>
            <w:pPr>
              <w:pStyle w:val="PlainText"/>
              <w:widowControl w:val="false"/>
              <w:jc w:val="right"/>
              <w:rPr>
                <w:rFonts w:ascii="Calibri" w:hAnsi="Calibri" w:cs="Calibri"/>
                <w:sz w:val="22"/>
                <w:szCs w:val="22"/>
              </w:rPr>
            </w:pPr>
            <w:r>
              <w:rPr>
                <w:rFonts w:cs="Calibri" w:ascii="Calibri" w:hAnsi="Calibri"/>
                <w:sz w:val="22"/>
                <w:szCs w:val="22"/>
              </w:rPr>
              <w:t>294.016,46</w:t>
            </w:r>
          </w:p>
        </w:tc>
      </w:tr>
      <w:tr>
        <w:trPr/>
        <w:tc>
          <w:tcPr>
            <w:tcW w:w="546"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4235" w:type="dxa"/>
            <w:tcBorders/>
            <w:shd w:color="auto" w:fill="auto" w:val="clear"/>
          </w:tcPr>
          <w:p>
            <w:pPr>
              <w:pStyle w:val="PlainText"/>
              <w:widowControl w:val="false"/>
              <w:jc w:val="both"/>
              <w:rPr>
                <w:rFonts w:ascii="Calibri" w:hAnsi="Calibri" w:cs="Calibri"/>
                <w:sz w:val="22"/>
                <w:szCs w:val="22"/>
              </w:rPr>
            </w:pPr>
            <w:r>
              <w:rPr>
                <w:rFonts w:cs="Calibri" w:ascii="Calibri" w:hAnsi="Calibri"/>
                <w:sz w:val="22"/>
                <w:szCs w:val="22"/>
              </w:rPr>
            </w:r>
          </w:p>
        </w:tc>
        <w:tc>
          <w:tcPr>
            <w:tcW w:w="2176"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c>
          <w:tcPr>
            <w:tcW w:w="2111" w:type="dxa"/>
            <w:tcBorders/>
            <w:shd w:color="auto" w:fill="auto" w:val="clear"/>
          </w:tcPr>
          <w:p>
            <w:pPr>
              <w:pStyle w:val="PlainText"/>
              <w:widowControl w:val="false"/>
              <w:jc w:val="right"/>
              <w:rPr>
                <w:rFonts w:ascii="Calibri" w:hAnsi="Calibri" w:cs="Calibri"/>
                <w:sz w:val="22"/>
                <w:szCs w:val="22"/>
              </w:rPr>
            </w:pPr>
            <w:r>
              <w:rPr>
                <w:rFonts w:cs="Calibri" w:ascii="Calibri" w:hAnsi="Calibri"/>
                <w:sz w:val="22"/>
                <w:szCs w:val="22"/>
              </w:rPr>
            </w:r>
          </w:p>
        </w:tc>
      </w:tr>
      <w:tr>
        <w:trPr/>
        <w:tc>
          <w:tcPr>
            <w:tcW w:w="546" w:type="dxa"/>
            <w:tcBorders/>
            <w:shd w:color="auto" w:fill="auto" w:val="clear"/>
          </w:tcPr>
          <w:p>
            <w:pPr>
              <w:pStyle w:val="PlainText"/>
              <w:widowControl w:val="false"/>
              <w:jc w:val="both"/>
              <w:rPr>
                <w:rFonts w:ascii="Calibri" w:hAnsi="Calibri" w:cs="Calibri"/>
                <w:b/>
                <w:b/>
                <w:sz w:val="22"/>
                <w:szCs w:val="22"/>
              </w:rPr>
            </w:pPr>
            <w:r>
              <w:rPr>
                <w:rFonts w:cs="Calibri" w:ascii="Calibri" w:hAnsi="Calibri"/>
                <w:b/>
                <w:sz w:val="22"/>
                <w:szCs w:val="22"/>
              </w:rPr>
            </w:r>
          </w:p>
        </w:tc>
        <w:tc>
          <w:tcPr>
            <w:tcW w:w="6411" w:type="dxa"/>
            <w:gridSpan w:val="2"/>
            <w:tcBorders/>
            <w:shd w:color="auto" w:fill="auto" w:val="clear"/>
          </w:tcPr>
          <w:p>
            <w:pPr>
              <w:pStyle w:val="PlainText"/>
              <w:widowControl w:val="false"/>
              <w:rPr>
                <w:rFonts w:ascii="Calibri" w:hAnsi="Calibri" w:cs="Calibri"/>
                <w:b/>
                <w:b/>
                <w:sz w:val="22"/>
                <w:szCs w:val="22"/>
              </w:rPr>
            </w:pPr>
            <w:r>
              <w:rPr>
                <w:rFonts w:cs="Calibri" w:ascii="Calibri" w:hAnsi="Calibri"/>
                <w:b/>
                <w:sz w:val="22"/>
                <w:szCs w:val="22"/>
              </w:rPr>
              <w:t>ROMANENT DE TRESORERIA PER A DESPESES GENERALS</w:t>
            </w:r>
          </w:p>
        </w:tc>
        <w:tc>
          <w:tcPr>
            <w:tcW w:w="2111" w:type="dxa"/>
            <w:tcBorders/>
            <w:shd w:color="auto" w:fill="auto" w:val="clear"/>
          </w:tcPr>
          <w:p>
            <w:pPr>
              <w:pStyle w:val="PlainText"/>
              <w:widowControl w:val="false"/>
              <w:jc w:val="right"/>
              <w:rPr>
                <w:rFonts w:ascii="Calibri" w:hAnsi="Calibri" w:cs="Calibri"/>
                <w:b/>
                <w:b/>
                <w:sz w:val="22"/>
                <w:szCs w:val="22"/>
              </w:rPr>
            </w:pPr>
            <w:r>
              <w:rPr>
                <w:rFonts w:cs="Calibri" w:ascii="Calibri" w:hAnsi="Calibri"/>
                <w:b/>
                <w:sz w:val="22"/>
                <w:szCs w:val="22"/>
              </w:rPr>
              <w:t>927.014,29</w:t>
            </w:r>
          </w:p>
        </w:tc>
      </w:tr>
    </w:tbl>
    <w:p>
      <w:pPr>
        <w:pStyle w:val="PlainText"/>
        <w:rPr>
          <w:rFonts w:ascii="Calibri" w:hAnsi="Calibri" w:cs="Calibri"/>
          <w:sz w:val="22"/>
          <w:szCs w:val="22"/>
          <w:highlight w:val="yellow"/>
        </w:rPr>
      </w:pPr>
      <w:r>
        <w:rPr>
          <w:rFonts w:cs="Calibri" w:ascii="Calibri" w:hAnsi="Calibri"/>
          <w:sz w:val="22"/>
          <w:szCs w:val="22"/>
          <w:highlight w:val="yellow"/>
        </w:rPr>
      </w:r>
    </w:p>
    <w:p>
      <w:pPr>
        <w:pStyle w:val="PlainText"/>
        <w:rPr>
          <w:rFonts w:ascii="Calibri" w:hAnsi="Calibri" w:cs="Calibri"/>
          <w:sz w:val="22"/>
          <w:szCs w:val="22"/>
          <w:highlight w:val="yellow"/>
        </w:rPr>
      </w:pPr>
      <w:r>
        <w:rPr>
          <w:rFonts w:cs="Calibri" w:ascii="Calibri" w:hAnsi="Calibri"/>
          <w:sz w:val="22"/>
          <w:szCs w:val="22"/>
          <w:highlight w:val="yellow"/>
        </w:rPr>
      </w:r>
    </w:p>
    <w:p>
      <w:pPr>
        <w:pStyle w:val="PlainText"/>
        <w:jc w:val="both"/>
        <w:rPr>
          <w:rFonts w:ascii="Calibri" w:hAnsi="Calibri" w:cs="Calibri" w:asciiTheme="minorHAnsi" w:hAnsiTheme="minorHAnsi"/>
          <w:sz w:val="24"/>
          <w:szCs w:val="24"/>
        </w:rPr>
      </w:pPr>
      <w:r>
        <w:rPr>
          <w:rFonts w:cs="Calibri" w:ascii="Calibri" w:hAnsi="Calibri"/>
          <w:sz w:val="24"/>
          <w:szCs w:val="24"/>
        </w:rPr>
      </w:r>
    </w:p>
    <w:p>
      <w:pPr>
        <w:pStyle w:val="PlainText"/>
        <w:jc w:val="both"/>
        <w:rPr>
          <w:rFonts w:ascii="Calibri" w:hAnsi="Calibri" w:cs="Calibri" w:asciiTheme="minorHAnsi" w:hAnsiTheme="minorHAnsi"/>
          <w:sz w:val="24"/>
          <w:szCs w:val="24"/>
        </w:rPr>
      </w:pPr>
      <w:r>
        <w:rPr>
          <w:rFonts w:cs="Calibri" w:ascii="Calibri" w:hAnsi="Calibri" w:asciiTheme="minorHAnsi" w:hAnsiTheme="minorHAnsi"/>
          <w:sz w:val="24"/>
          <w:szCs w:val="24"/>
        </w:rPr>
        <w:t xml:space="preserve">                </w:t>
      </w:r>
      <w:r>
        <w:rPr>
          <w:rFonts w:cs="Calibri" w:ascii="Calibri" w:hAnsi="Calibri" w:asciiTheme="minorHAnsi" w:hAnsiTheme="minorHAnsi"/>
          <w:sz w:val="24"/>
          <w:szCs w:val="24"/>
        </w:rPr>
        <w:t xml:space="preserve">EL BATLE,    </w:t>
        <w:tab/>
        <w:tab/>
        <w:tab/>
        <w:tab/>
        <w:tab/>
        <w:tab/>
        <w:tab/>
        <w:t xml:space="preserve">  EL SECRETARI-INTERVENTOR,</w:t>
      </w:r>
    </w:p>
    <w:sectPr>
      <w:footerReference w:type="default" r:id="rId9"/>
      <w:type w:val="nextPage"/>
      <w:pgSz w:w="11906" w:h="16838"/>
      <w:pgMar w:left="1151" w:right="1151" w:header="0" w:top="2945" w:footer="1418" w:bottom="1475"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ourier New">
    <w:charset w:val="00"/>
    <w:family w:val="roman"/>
    <w:pitch w:val="variable"/>
  </w:font>
  <w:font w:name="Verdana">
    <w:charset w:val="00"/>
    <w:family w:val="roman"/>
    <w:pitch w:val="variable"/>
  </w:font>
  <w:font w:name="Liberation Sans">
    <w:altName w:val="Arial"/>
    <w:charset w:val="00"/>
    <w:family w:val="swiss"/>
    <w:pitch w:val="variable"/>
  </w:font>
  <w:font w:name="Tahoma">
    <w:charset w:val="00"/>
    <w:family w:val="roman"/>
    <w:pitch w:val="variable"/>
  </w:font>
  <w:font w:name="Courier">
    <w:altName w:val="Courier New"/>
    <w:charset w:val="00"/>
    <w:family w:val="roman"/>
    <w:pitch w:val="variable"/>
  </w:font>
  <w:font w:name="Arial">
    <w:charset w:val="00"/>
    <w:family w:val="roman"/>
    <w:pitch w:val="variable"/>
  </w:font>
  <w:font w:name="Calibri">
    <w:charset w:val="00"/>
    <w:family w:val="roman"/>
    <w:pitch w:val="variable"/>
  </w:font>
  <w:font w:name="MS SANS">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eudepgina"/>
      <w:jc w:val="center"/>
      <w:rPr>
        <w:caps/>
        <w:color w:val="4F81BD" w:themeColor="accent1"/>
      </w:rPr>
    </w:pPr>
    <w:r>
      <w:rPr>
        <w:caps/>
        <w:color w:val="4F81BD" w:themeColor="accent1"/>
      </w:rPr>
      <w:fldChar w:fldCharType="begin"/>
    </w:r>
    <w:r>
      <w:rPr>
        <w:caps/>
        <w:color w:val="4F81BD"/>
      </w:rPr>
      <w:instrText> PAGE </w:instrText>
    </w:r>
    <w:r>
      <w:rPr>
        <w:caps/>
        <w:color w:val="4F81BD"/>
      </w:rPr>
      <w:fldChar w:fldCharType="separate"/>
    </w:r>
    <w:r>
      <w:rPr>
        <w:caps/>
        <w:color w:val="4F81BD"/>
      </w:rPr>
      <w:t>1</w:t>
    </w:r>
    <w:r>
      <w:rPr>
        <w:caps/>
        <w:color w:val="4F81BD"/>
      </w:rPr>
      <w:fldChar w:fldCharType="end"/>
    </w:r>
  </w:p>
  <w:p>
    <w:pPr>
      <w:pStyle w:val="Peu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833"/>
        </w:tabs>
        <w:ind w:left="1833" w:hanging="1125"/>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lvl w:ilvl="0">
      <w:start w:val="1"/>
      <w:numFmt w:val="decimal"/>
      <w:lvlText w:val="%1."/>
      <w:lvlJc w:val="left"/>
      <w:pPr>
        <w:tabs>
          <w:tab w:val="num" w:pos="0"/>
        </w:tabs>
        <w:ind w:left="1260" w:hanging="360"/>
      </w:pPr>
      <w:rPr>
        <w:color w:val="000000"/>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3">
    <w:lvl w:ilvl="0">
      <w:numFmt w:val="bullet"/>
      <w:lvlText w:val="-"/>
      <w:lvlJc w:val="left"/>
      <w:pPr>
        <w:tabs>
          <w:tab w:val="num" w:pos="0"/>
        </w:tabs>
        <w:ind w:left="1068" w:hanging="360"/>
      </w:pPr>
      <w:rPr>
        <w:rFonts w:ascii="Calibri" w:hAnsi="Calibri" w:cs="Calibri" w:hint="default"/>
      </w:rPr>
    </w:lvl>
    <w:lvl w:ilvl="1">
      <w:start w:val="1"/>
      <w:numFmt w:val="bullet"/>
      <w:lvlText w:val="o"/>
      <w:lvlJc w:val="left"/>
      <w:pPr>
        <w:tabs>
          <w:tab w:val="num" w:pos="0"/>
        </w:tabs>
        <w:ind w:left="1788" w:hanging="360"/>
      </w:pPr>
      <w:rPr>
        <w:rFonts w:ascii="Courier New" w:hAnsi="Courier New" w:cs="Courier New" w:hint="default"/>
      </w:rPr>
    </w:lvl>
    <w:lvl w:ilvl="2">
      <w:start w:val="1"/>
      <w:numFmt w:val="bullet"/>
      <w:lvlText w:val=""/>
      <w:lvlJc w:val="left"/>
      <w:pPr>
        <w:tabs>
          <w:tab w:val="num" w:pos="0"/>
        </w:tabs>
        <w:ind w:left="2508" w:hanging="360"/>
      </w:pPr>
      <w:rPr>
        <w:rFonts w:ascii="Wingdings" w:hAnsi="Wingdings" w:cs="Wingdings" w:hint="default"/>
      </w:rPr>
    </w:lvl>
    <w:lvl w:ilvl="3">
      <w:start w:val="1"/>
      <w:numFmt w:val="bullet"/>
      <w:lvlText w:val=""/>
      <w:lvlJc w:val="left"/>
      <w:pPr>
        <w:tabs>
          <w:tab w:val="num" w:pos="0"/>
        </w:tabs>
        <w:ind w:left="3228" w:hanging="360"/>
      </w:pPr>
      <w:rPr>
        <w:rFonts w:ascii="Symbol" w:hAnsi="Symbol" w:cs="Symbol" w:hint="default"/>
      </w:rPr>
    </w:lvl>
    <w:lvl w:ilvl="4">
      <w:start w:val="1"/>
      <w:numFmt w:val="bullet"/>
      <w:lvlText w:val="o"/>
      <w:lvlJc w:val="left"/>
      <w:pPr>
        <w:tabs>
          <w:tab w:val="num" w:pos="0"/>
        </w:tabs>
        <w:ind w:left="3948" w:hanging="360"/>
      </w:pPr>
      <w:rPr>
        <w:rFonts w:ascii="Courier New" w:hAnsi="Courier New" w:cs="Courier New" w:hint="default"/>
      </w:rPr>
    </w:lvl>
    <w:lvl w:ilvl="5">
      <w:start w:val="1"/>
      <w:numFmt w:val="bullet"/>
      <w:lvlText w:val=""/>
      <w:lvlJc w:val="left"/>
      <w:pPr>
        <w:tabs>
          <w:tab w:val="num" w:pos="0"/>
        </w:tabs>
        <w:ind w:left="4668" w:hanging="360"/>
      </w:pPr>
      <w:rPr>
        <w:rFonts w:ascii="Wingdings" w:hAnsi="Wingdings" w:cs="Wingdings" w:hint="default"/>
      </w:rPr>
    </w:lvl>
    <w:lvl w:ilvl="6">
      <w:start w:val="1"/>
      <w:numFmt w:val="bullet"/>
      <w:lvlText w:val=""/>
      <w:lvlJc w:val="left"/>
      <w:pPr>
        <w:tabs>
          <w:tab w:val="num" w:pos="0"/>
        </w:tabs>
        <w:ind w:left="5388" w:hanging="360"/>
      </w:pPr>
      <w:rPr>
        <w:rFonts w:ascii="Symbol" w:hAnsi="Symbol" w:cs="Symbol" w:hint="default"/>
      </w:rPr>
    </w:lvl>
    <w:lvl w:ilvl="7">
      <w:start w:val="1"/>
      <w:numFmt w:val="bullet"/>
      <w:lvlText w:val="o"/>
      <w:lvlJc w:val="left"/>
      <w:pPr>
        <w:tabs>
          <w:tab w:val="num" w:pos="0"/>
        </w:tabs>
        <w:ind w:left="6108" w:hanging="360"/>
      </w:pPr>
      <w:rPr>
        <w:rFonts w:ascii="Courier New" w:hAnsi="Courier New" w:cs="Courier New" w:hint="default"/>
      </w:rPr>
    </w:lvl>
    <w:lvl w:ilvl="8">
      <w:start w:val="1"/>
      <w:numFmt w:val="bullet"/>
      <w:lvlText w:val=""/>
      <w:lvlJc w:val="left"/>
      <w:pPr>
        <w:tabs>
          <w:tab w:val="num" w:pos="0"/>
        </w:tabs>
        <w:ind w:left="6828" w:hanging="360"/>
      </w:pPr>
      <w:rPr>
        <w:rFonts w:ascii="Wingdings" w:hAnsi="Wingdings" w:cs="Wingdings" w:hint="default"/>
      </w:rPr>
    </w:lvl>
  </w:abstractNum>
  <w:abstractNum w:abstractNumId="4">
    <w:lvl w:ilvl="0">
      <w:start w:val="222"/>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3"/>
      <w:numFmt w:val="bullet"/>
      <w:lvlText w:val="-"/>
      <w:lvlJc w:val="left"/>
      <w:pPr>
        <w:tabs>
          <w:tab w:val="num" w:pos="0"/>
        </w:tabs>
        <w:ind w:left="1080" w:hanging="360"/>
      </w:pPr>
      <w:rPr>
        <w:rFonts w:ascii="Calibr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8">
    <w:lvl w:ilvl="0">
      <w:start w:val="1"/>
      <w:numFmt w:val="decimal"/>
      <w:lvlText w:val="%1."/>
      <w:lvlJc w:val="left"/>
      <w:pPr>
        <w:tabs>
          <w:tab w:val="num" w:pos="1833"/>
        </w:tabs>
        <w:ind w:left="1833" w:hanging="1125"/>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a-ES" w:eastAsia="ca-E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17bd6"/>
    <w:pPr>
      <w:widowControl/>
      <w:bidi w:val="0"/>
      <w:spacing w:before="0" w:after="0"/>
      <w:jc w:val="left"/>
    </w:pPr>
    <w:rPr>
      <w:rFonts w:ascii="Times New Roman" w:hAnsi="Times New Roman" w:eastAsia="Times New Roman" w:cs="Times New Roman"/>
      <w:color w:val="auto"/>
      <w:kern w:val="0"/>
      <w:sz w:val="24"/>
      <w:szCs w:val="24"/>
      <w:lang w:eastAsia="es-ES" w:val="ca-ES" w:bidi="ar-SA"/>
    </w:rPr>
  </w:style>
  <w:style w:type="paragraph" w:styleId="Encapalament1">
    <w:name w:val="Heading 1"/>
    <w:basedOn w:val="Normal"/>
    <w:next w:val="Normal"/>
    <w:qFormat/>
    <w:pPr>
      <w:keepNext w:val="true"/>
      <w:outlineLvl w:val="0"/>
    </w:pPr>
    <w:rPr>
      <w:b/>
      <w:szCs w:val="20"/>
      <w:lang w:val="es-ES_tradnl"/>
    </w:rPr>
  </w:style>
  <w:style w:type="paragraph" w:styleId="Encapalament2">
    <w:name w:val="Heading 2"/>
    <w:basedOn w:val="Normal"/>
    <w:next w:val="Normal"/>
    <w:qFormat/>
    <w:pPr>
      <w:keepNext w:val="true"/>
      <w:jc w:val="center"/>
      <w:outlineLvl w:val="1"/>
    </w:pPr>
    <w:rPr>
      <w:b/>
      <w:szCs w:val="20"/>
      <w:lang w:val="es-ES_tradnl"/>
    </w:rPr>
  </w:style>
  <w:style w:type="paragraph" w:styleId="Encapalament4">
    <w:name w:val="Heading 4"/>
    <w:basedOn w:val="Normal"/>
    <w:next w:val="Normal"/>
    <w:link w:val="Ttulo4Car"/>
    <w:semiHidden/>
    <w:unhideWhenUsed/>
    <w:qFormat/>
    <w:rsid w:val="009464c4"/>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character" w:styleId="DefaultParagraphFont" w:default="1">
    <w:name w:val="Default Paragraph Font"/>
    <w:uiPriority w:val="1"/>
    <w:semiHidden/>
    <w:unhideWhenUsed/>
    <w:qFormat/>
    <w:rPr/>
  </w:style>
  <w:style w:type="character" w:styleId="Ttulo4Car" w:customStyle="1">
    <w:name w:val="Título 4 Car"/>
    <w:basedOn w:val="DefaultParagraphFont"/>
    <w:link w:val="Ttulo4"/>
    <w:semiHidden/>
    <w:qFormat/>
    <w:rsid w:val="009464c4"/>
    <w:rPr>
      <w:rFonts w:ascii="Cambria" w:hAnsi="Cambria" w:eastAsia="" w:cs="" w:asciiTheme="majorHAnsi" w:cstheme="majorBidi" w:eastAsiaTheme="majorEastAsia" w:hAnsiTheme="majorHAnsi"/>
      <w:i/>
      <w:iCs/>
      <w:color w:val="365F91" w:themeColor="accent1" w:themeShade="bf"/>
      <w:sz w:val="24"/>
      <w:szCs w:val="24"/>
      <w:lang w:eastAsia="es-ES"/>
    </w:rPr>
  </w:style>
  <w:style w:type="character" w:styleId="TextosinformatoCar" w:customStyle="1">
    <w:name w:val="Texto sin formato Car"/>
    <w:link w:val="Textosinformato"/>
    <w:qFormat/>
    <w:rsid w:val="00ee7133"/>
    <w:rPr>
      <w:rFonts w:ascii="Courier New" w:hAnsi="Courier New"/>
      <w:lang w:eastAsia="es-ES"/>
    </w:rPr>
  </w:style>
  <w:style w:type="character" w:styleId="EncabezadoCar" w:customStyle="1">
    <w:name w:val="Encabezado Car"/>
    <w:link w:val="Encabezado"/>
    <w:qFormat/>
    <w:rsid w:val="008123a1"/>
    <w:rPr>
      <w:sz w:val="24"/>
      <w:szCs w:val="24"/>
      <w:lang w:eastAsia="es-ES"/>
    </w:rPr>
  </w:style>
  <w:style w:type="character" w:styleId="PiedepginaCar" w:customStyle="1">
    <w:name w:val="Pie de página Car"/>
    <w:link w:val="Piedepgina"/>
    <w:uiPriority w:val="99"/>
    <w:qFormat/>
    <w:rsid w:val="008123a1"/>
    <w:rPr>
      <w:sz w:val="24"/>
      <w:szCs w:val="24"/>
      <w:lang w:eastAsia="es-ES"/>
    </w:rPr>
  </w:style>
  <w:style w:type="character" w:styleId="Mfasi">
    <w:name w:val="Èmfasi"/>
    <w:basedOn w:val="DefaultParagraphFont"/>
    <w:uiPriority w:val="20"/>
    <w:qFormat/>
    <w:rsid w:val="00320a78"/>
    <w:rPr>
      <w:i/>
      <w:iCs/>
    </w:rPr>
  </w:style>
  <w:style w:type="character" w:styleId="SubttuloCar" w:customStyle="1">
    <w:name w:val="Subtítulo Car"/>
    <w:basedOn w:val="DefaultParagraphFont"/>
    <w:link w:val="Subttulo"/>
    <w:qFormat/>
    <w:rsid w:val="00204a39"/>
    <w:rPr>
      <w:rFonts w:ascii="Cambria" w:hAnsi="Cambria"/>
      <w:sz w:val="24"/>
      <w:szCs w:val="24"/>
      <w:lang w:eastAsia="x-none"/>
    </w:rPr>
  </w:style>
  <w:style w:type="character" w:styleId="Customreference" w:customStyle="1">
    <w:name w:val="custom-reference"/>
    <w:qFormat/>
    <w:rsid w:val="00eb12e5"/>
    <w:rPr>
      <w:rFonts w:ascii="Verdana" w:hAnsi="Verdana" w:eastAsia="Verdana" w:cs="Verdana"/>
      <w:i/>
      <w:color w:val="595959"/>
      <w:sz w:val="16"/>
    </w:rPr>
  </w:style>
  <w:style w:type="paragraph" w:styleId="Encapalament">
    <w:name w:val="Encapçalament"/>
    <w:basedOn w:val="Normal"/>
    <w:next w:val="Cosdeltext"/>
    <w:qFormat/>
    <w:pPr>
      <w:keepNext w:val="true"/>
      <w:spacing w:before="240" w:after="120"/>
    </w:pPr>
    <w:rPr>
      <w:rFonts w:ascii="Liberation Sans" w:hAnsi="Liberation Sans" w:eastAsia="Microsoft YaHei" w:cs="Lucida Sans"/>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Lucida Sans"/>
    </w:rPr>
  </w:style>
  <w:style w:type="paragraph" w:styleId="Llegenda">
    <w:name w:val="Caption"/>
    <w:basedOn w:val="Normal"/>
    <w:qFormat/>
    <w:pPr>
      <w:suppressLineNumbers/>
      <w:spacing w:before="120" w:after="120"/>
    </w:pPr>
    <w:rPr>
      <w:rFonts w:cs="Lucida Sans"/>
      <w:i/>
      <w:iCs/>
      <w:sz w:val="24"/>
      <w:szCs w:val="24"/>
    </w:rPr>
  </w:style>
  <w:style w:type="paragraph" w:styleId="Ndex">
    <w:name w:val="Índex"/>
    <w:basedOn w:val="Normal"/>
    <w:qFormat/>
    <w:pPr>
      <w:suppressLineNumbers/>
    </w:pPr>
    <w:rPr>
      <w:rFonts w:cs="Lucida Sans"/>
    </w:rPr>
  </w:style>
  <w:style w:type="paragraph" w:styleId="PlainText">
    <w:name w:val="Plain Text"/>
    <w:basedOn w:val="Normal"/>
    <w:link w:val="TextosinformatoCar"/>
    <w:qFormat/>
    <w:pPr/>
    <w:rPr>
      <w:rFonts w:ascii="Courier New" w:hAnsi="Courier New"/>
      <w:sz w:val="20"/>
      <w:szCs w:val="20"/>
    </w:rPr>
  </w:style>
  <w:style w:type="paragraph" w:styleId="BalloonText">
    <w:name w:val="Balloon Text"/>
    <w:basedOn w:val="Normal"/>
    <w:semiHidden/>
    <w:qFormat/>
    <w:rsid w:val="00c932ca"/>
    <w:pPr/>
    <w:rPr>
      <w:rFonts w:ascii="Tahoma" w:hAnsi="Tahoma" w:cs="Tahoma"/>
      <w:sz w:val="16"/>
      <w:szCs w:val="16"/>
    </w:rPr>
  </w:style>
  <w:style w:type="paragraph" w:styleId="Estndar" w:customStyle="1">
    <w:name w:val="Estándar"/>
    <w:qFormat/>
    <w:rsid w:val="009634e3"/>
    <w:pPr>
      <w:widowControl w:val="false"/>
      <w:bidi w:val="0"/>
      <w:spacing w:before="0" w:after="0"/>
      <w:jc w:val="both"/>
    </w:pPr>
    <w:rPr>
      <w:rFonts w:ascii="Courier" w:hAnsi="Courier" w:eastAsia="Times New Roman" w:cs="Times New Roman"/>
      <w:color w:val="auto"/>
      <w:kern w:val="0"/>
      <w:sz w:val="20"/>
      <w:szCs w:val="20"/>
      <w:lang w:val="es-ES_tradnl" w:eastAsia="es-ES" w:bidi="ar-SA"/>
    </w:rPr>
  </w:style>
  <w:style w:type="paragraph" w:styleId="Capaleraipeu">
    <w:name w:val="Capçalera i peu"/>
    <w:basedOn w:val="Normal"/>
    <w:qFormat/>
    <w:pPr/>
    <w:rPr/>
  </w:style>
  <w:style w:type="paragraph" w:styleId="Capalera">
    <w:name w:val="Header"/>
    <w:basedOn w:val="Normal"/>
    <w:link w:val="EncabezadoCar"/>
    <w:rsid w:val="008123a1"/>
    <w:pPr>
      <w:tabs>
        <w:tab w:val="clear" w:pos="708"/>
        <w:tab w:val="center" w:pos="4252" w:leader="none"/>
        <w:tab w:val="right" w:pos="8504" w:leader="none"/>
      </w:tabs>
    </w:pPr>
    <w:rPr/>
  </w:style>
  <w:style w:type="paragraph" w:styleId="Peudepgina">
    <w:name w:val="Footer"/>
    <w:basedOn w:val="Normal"/>
    <w:link w:val="PiedepginaCar"/>
    <w:uiPriority w:val="99"/>
    <w:rsid w:val="008123a1"/>
    <w:pPr>
      <w:tabs>
        <w:tab w:val="clear" w:pos="708"/>
        <w:tab w:val="center" w:pos="4252" w:leader="none"/>
        <w:tab w:val="right" w:pos="8504" w:leader="none"/>
      </w:tabs>
    </w:pPr>
    <w:rPr/>
  </w:style>
  <w:style w:type="paragraph" w:styleId="Default" w:customStyle="1">
    <w:name w:val="Default"/>
    <w:qFormat/>
    <w:rsid w:val="00002b53"/>
    <w:pPr>
      <w:widowControl/>
      <w:bidi w:val="0"/>
      <w:spacing w:before="0" w:after="0"/>
      <w:jc w:val="left"/>
    </w:pPr>
    <w:rPr>
      <w:rFonts w:ascii="Arial" w:hAnsi="Arial" w:cs="Arial" w:eastAsia="Times New Roman"/>
      <w:color w:val="000000"/>
      <w:kern w:val="0"/>
      <w:sz w:val="24"/>
      <w:szCs w:val="24"/>
      <w:lang w:val="es-ES" w:eastAsia="ca-ES" w:bidi="ar-SA"/>
    </w:rPr>
  </w:style>
  <w:style w:type="paragraph" w:styleId="Pa11" w:customStyle="1">
    <w:name w:val="Pa11"/>
    <w:basedOn w:val="Default"/>
    <w:next w:val="Default"/>
    <w:uiPriority w:val="99"/>
    <w:qFormat/>
    <w:rsid w:val="00002b53"/>
    <w:pPr>
      <w:spacing w:lineRule="atLeast" w:line="201"/>
    </w:pPr>
    <w:rPr>
      <w:color w:val="auto"/>
    </w:rPr>
  </w:style>
  <w:style w:type="paragraph" w:styleId="Pa12" w:customStyle="1">
    <w:name w:val="Pa12"/>
    <w:basedOn w:val="Default"/>
    <w:next w:val="Default"/>
    <w:uiPriority w:val="99"/>
    <w:qFormat/>
    <w:rsid w:val="00002b53"/>
    <w:pPr>
      <w:spacing w:lineRule="atLeast" w:line="201"/>
    </w:pPr>
    <w:rPr>
      <w:color w:val="auto"/>
    </w:rPr>
  </w:style>
  <w:style w:type="paragraph" w:styleId="NormalWeb">
    <w:name w:val="Normal (Web)"/>
    <w:basedOn w:val="Normal"/>
    <w:uiPriority w:val="99"/>
    <w:unhideWhenUsed/>
    <w:qFormat/>
    <w:rsid w:val="00320a78"/>
    <w:pPr>
      <w:spacing w:beforeAutospacing="1" w:afterAutospacing="1"/>
    </w:pPr>
    <w:rPr>
      <w:lang w:val="es-ES"/>
    </w:rPr>
  </w:style>
  <w:style w:type="paragraph" w:styleId="Articulo1" w:customStyle="1">
    <w:name w:val="articulo1"/>
    <w:basedOn w:val="Normal"/>
    <w:qFormat/>
    <w:rsid w:val="00a53e7f"/>
    <w:pPr>
      <w:spacing w:before="360" w:after="180"/>
    </w:pPr>
    <w:rPr>
      <w:b/>
      <w:bCs/>
      <w:lang w:val="es-ES"/>
    </w:rPr>
  </w:style>
  <w:style w:type="paragraph" w:styleId="Parrafo1" w:customStyle="1">
    <w:name w:val="parrafo1"/>
    <w:basedOn w:val="Normal"/>
    <w:qFormat/>
    <w:rsid w:val="00a53e7f"/>
    <w:pPr>
      <w:spacing w:before="180" w:after="180"/>
      <w:ind w:firstLine="360"/>
      <w:jc w:val="both"/>
    </w:pPr>
    <w:rPr>
      <w:lang w:val="es-ES"/>
    </w:rPr>
  </w:style>
  <w:style w:type="paragraph" w:styleId="Parrafo22" w:customStyle="1">
    <w:name w:val="parrafo_22"/>
    <w:basedOn w:val="Normal"/>
    <w:qFormat/>
    <w:rsid w:val="00a53e7f"/>
    <w:pPr>
      <w:spacing w:before="360" w:after="180"/>
      <w:ind w:firstLine="360"/>
      <w:jc w:val="both"/>
    </w:pPr>
    <w:rPr>
      <w:lang w:val="es-ES"/>
    </w:rPr>
  </w:style>
  <w:style w:type="paragraph" w:styleId="ListParagraph">
    <w:name w:val="List Paragraph"/>
    <w:basedOn w:val="Normal"/>
    <w:uiPriority w:val="34"/>
    <w:qFormat/>
    <w:rsid w:val="00595a53"/>
    <w:pPr>
      <w:spacing w:before="0" w:after="0"/>
      <w:ind w:left="720" w:hanging="0"/>
      <w:contextualSpacing/>
    </w:pPr>
    <w:rPr/>
  </w:style>
  <w:style w:type="paragraph" w:styleId="Subttol">
    <w:name w:val="Subtitle"/>
    <w:basedOn w:val="Normal"/>
    <w:next w:val="Normal"/>
    <w:link w:val="SubttuloCar"/>
    <w:qFormat/>
    <w:rsid w:val="00204a39"/>
    <w:pPr>
      <w:spacing w:before="0" w:after="60"/>
      <w:jc w:val="center"/>
      <w:outlineLvl w:val="1"/>
    </w:pPr>
    <w:rPr>
      <w:rFonts w:ascii="Cambria" w:hAnsi="Cambria"/>
      <w:lang w:eastAsia="x-none"/>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rsid w:val="003805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07B3FA2-9C1C-4115-84DF-525F76868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LibreOffice/7.0.0.3$Windows_X86_64 LibreOffice_project/8061b3e9204bef6b321a21033174034a5e2ea88e</Application>
  <Pages>33</Pages>
  <Words>4311</Words>
  <Characters>25425</Characters>
  <CharactersWithSpaces>29614</CharactersWithSpaces>
  <Paragraphs>776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2023-08-09T09:19:00Z</dcterms:created>
  <dc:creator>.</dc:creator>
  <dc:description/>
  <dc:language>ca-ES</dc:language>
  <cp:lastModifiedBy>Sonia Hernández</cp:lastModifiedBy>
  <cp:lastPrinted>2022-06-09T07:06:00Z</cp:lastPrinted>
  <dcterms:modified xsi:type="dcterms:W3CDTF">2023-08-09T09:19:00Z</dcterms:modified>
  <cp:revision>2</cp:revision>
  <dc:subject/>
  <dc:title>En                                            , Interventor de Fons d’aquesta Corporació, en compliment del que es disposa 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